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00" w:lineRule="exact"/>
        <w:jc w:val="center"/>
        <w:rPr>
          <w:rFonts w:ascii="方正小标宋_GBK" w:hAnsi="方正小标宋_GBK" w:eastAsia="方正小标宋_GBK"/>
          <w:b w:val="0"/>
          <w:bCs w:val="0"/>
          <w:szCs w:val="72"/>
        </w:rPr>
      </w:pPr>
      <w:r>
        <w:rPr>
          <w:rFonts w:hint="eastAsia" w:ascii="方正小标宋_GBK" w:hAnsi="方正小标宋_GBK" w:eastAsia="方正小标宋_GBK"/>
          <w:b w:val="0"/>
          <w:bCs w:val="0"/>
          <w:szCs w:val="72"/>
          <w:lang w:val="en-US" w:eastAsia="zh-CN"/>
        </w:rPr>
        <w:t xml:space="preserve">  </w:t>
      </w:r>
      <w:r>
        <w:rPr>
          <w:rFonts w:hint="eastAsia" w:ascii="方正小标宋_GBK" w:hAnsi="方正小标宋_GBK" w:eastAsia="方正小标宋_GBK"/>
          <w:b w:val="0"/>
          <w:bCs w:val="0"/>
          <w:szCs w:val="72"/>
          <w:lang w:eastAsia="zh-CN"/>
        </w:rPr>
        <w:t>河东镇</w:t>
      </w:r>
      <w:r>
        <w:rPr>
          <w:rFonts w:hint="eastAsia" w:ascii="方正小标宋_GBK" w:hAnsi="方正小标宋_GBK" w:eastAsia="方正小标宋_GBK"/>
          <w:b w:val="0"/>
          <w:bCs w:val="0"/>
          <w:szCs w:val="72"/>
        </w:rPr>
        <w:t>基层政务公开标准目录</w:t>
      </w:r>
    </w:p>
    <w:p>
      <w:pPr>
        <w:pStyle w:val="2"/>
        <w:spacing w:before="0" w:after="0" w:line="240" w:lineRule="exact"/>
        <w:jc w:val="center"/>
        <w:rPr>
          <w:rFonts w:ascii="方正小标宋_GBK" w:hAnsi="方正小标宋_GBK" w:eastAsia="方正小标宋_GBK"/>
          <w:b w:val="0"/>
          <w:bCs w:val="0"/>
          <w:szCs w:val="72"/>
        </w:rPr>
      </w:pPr>
    </w:p>
    <w:tbl>
      <w:tblPr>
        <w:tblStyle w:val="3"/>
        <w:tblpPr w:leftFromText="180" w:rightFromText="180" w:vertAnchor="page" w:horzAnchor="page" w:tblpXSpec="center" w:tblpY="2598"/>
        <w:tblOverlap w:val="never"/>
        <w:tblW w:w="15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33"/>
        <w:gridCol w:w="2052"/>
        <w:gridCol w:w="5796"/>
        <w:gridCol w:w="1020"/>
        <w:gridCol w:w="1260"/>
        <w:gridCol w:w="888"/>
        <w:gridCol w:w="528"/>
        <w:gridCol w:w="696"/>
        <w:gridCol w:w="84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序号</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公开事项名称</w:t>
            </w:r>
          </w:p>
        </w:tc>
        <w:tc>
          <w:tcPr>
            <w:tcW w:w="2052" w:type="dxa"/>
            <w:vMerge w:val="restart"/>
            <w:shd w:val="clear" w:color="auto" w:fill="auto"/>
            <w:vAlign w:val="center"/>
          </w:tcPr>
          <w:p>
            <w:pPr>
              <w:widowControl/>
              <w:spacing w:line="240" w:lineRule="exact"/>
              <w:jc w:val="center"/>
              <w:rPr>
                <w:rFonts w:hint="default" w:ascii="Times New Roman" w:hAnsi="Times New Roman" w:eastAsia="仿宋" w:cs="Times New Roman"/>
                <w:kern w:val="0"/>
                <w:sz w:val="22"/>
              </w:rPr>
            </w:pPr>
            <w:r>
              <w:rPr>
                <w:rFonts w:hint="default" w:ascii="Times New Roman" w:hAnsi="Times New Roman" w:eastAsia="仿宋" w:cs="Times New Roman"/>
                <w:kern w:val="0"/>
                <w:sz w:val="22"/>
              </w:rPr>
              <w:t>公开内容（要素）</w:t>
            </w:r>
          </w:p>
        </w:tc>
        <w:tc>
          <w:tcPr>
            <w:tcW w:w="5796"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公开依据</w:t>
            </w:r>
          </w:p>
        </w:tc>
        <w:tc>
          <w:tcPr>
            <w:tcW w:w="1020"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公开时限</w:t>
            </w:r>
          </w:p>
        </w:tc>
        <w:tc>
          <w:tcPr>
            <w:tcW w:w="1260" w:type="dxa"/>
            <w:vMerge w:val="restart"/>
            <w:shd w:val="clear" w:color="auto" w:fill="auto"/>
            <w:vAlign w:val="center"/>
          </w:tcPr>
          <w:p>
            <w:pPr>
              <w:widowControl/>
              <w:spacing w:line="240" w:lineRule="exact"/>
              <w:jc w:val="center"/>
              <w:rPr>
                <w:rFonts w:hint="default" w:ascii="Times New Roman" w:hAnsi="Times New Roman" w:eastAsia="仿宋" w:cs="Times New Roman"/>
                <w:kern w:val="0"/>
                <w:sz w:val="22"/>
              </w:rPr>
            </w:pPr>
            <w:r>
              <w:rPr>
                <w:rFonts w:hint="default" w:ascii="Times New Roman" w:hAnsi="Times New Roman" w:eastAsia="仿宋" w:cs="Times New Roman"/>
                <w:kern w:val="0"/>
                <w:sz w:val="22"/>
              </w:rPr>
              <w:t>公开主体</w:t>
            </w:r>
          </w:p>
        </w:tc>
        <w:tc>
          <w:tcPr>
            <w:tcW w:w="888" w:type="dxa"/>
            <w:vMerge w:val="restart"/>
            <w:shd w:val="clear" w:color="auto" w:fill="auto"/>
            <w:vAlign w:val="center"/>
          </w:tcPr>
          <w:p>
            <w:pPr>
              <w:widowControl/>
              <w:spacing w:line="240" w:lineRule="exact"/>
              <w:jc w:val="center"/>
              <w:rPr>
                <w:rFonts w:hint="default" w:ascii="Times New Roman" w:hAnsi="Times New Roman" w:eastAsia="仿宋" w:cs="Times New Roman"/>
                <w:kern w:val="0"/>
                <w:sz w:val="22"/>
              </w:rPr>
            </w:pPr>
            <w:r>
              <w:rPr>
                <w:rFonts w:hint="default" w:ascii="Times New Roman" w:hAnsi="Times New Roman" w:eastAsia="仿宋" w:cs="Times New Roman"/>
                <w:kern w:val="0"/>
                <w:sz w:val="22"/>
              </w:rPr>
              <w:t>公开渠道和载体</w:t>
            </w:r>
          </w:p>
        </w:tc>
        <w:tc>
          <w:tcPr>
            <w:tcW w:w="1224" w:type="dxa"/>
            <w:gridSpan w:val="2"/>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公开对象</w:t>
            </w:r>
          </w:p>
        </w:tc>
        <w:tc>
          <w:tcPr>
            <w:tcW w:w="1638" w:type="dxa"/>
            <w:gridSpan w:val="2"/>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0" w:type="dxa"/>
            <w:vMerge w:val="continue"/>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p>
        </w:tc>
        <w:tc>
          <w:tcPr>
            <w:tcW w:w="2052" w:type="dxa"/>
            <w:vMerge w:val="continue"/>
            <w:vAlign w:val="center"/>
          </w:tcPr>
          <w:p>
            <w:pPr>
              <w:widowControl/>
              <w:spacing w:line="240" w:lineRule="exact"/>
              <w:jc w:val="center"/>
              <w:rPr>
                <w:rFonts w:hint="default" w:ascii="Times New Roman" w:hAnsi="Times New Roman" w:eastAsia="仿宋" w:cs="Times New Roman"/>
                <w:kern w:val="0"/>
                <w:sz w:val="22"/>
              </w:rPr>
            </w:pPr>
          </w:p>
        </w:tc>
        <w:tc>
          <w:tcPr>
            <w:tcW w:w="5796" w:type="dxa"/>
            <w:vMerge w:val="continue"/>
            <w:vAlign w:val="center"/>
          </w:tcPr>
          <w:p>
            <w:pPr>
              <w:widowControl/>
              <w:spacing w:line="240" w:lineRule="exact"/>
              <w:jc w:val="left"/>
              <w:rPr>
                <w:rFonts w:hint="default" w:ascii="Times New Roman" w:hAnsi="Times New Roman" w:eastAsia="仿宋" w:cs="Times New Roman"/>
                <w:color w:val="000000"/>
                <w:kern w:val="0"/>
                <w:sz w:val="22"/>
              </w:rPr>
            </w:pPr>
          </w:p>
        </w:tc>
        <w:tc>
          <w:tcPr>
            <w:tcW w:w="1020" w:type="dxa"/>
            <w:vMerge w:val="continue"/>
            <w:vAlign w:val="center"/>
          </w:tcPr>
          <w:p>
            <w:pPr>
              <w:widowControl/>
              <w:spacing w:line="240" w:lineRule="exact"/>
              <w:jc w:val="center"/>
              <w:rPr>
                <w:rFonts w:hint="default" w:ascii="Times New Roman" w:hAnsi="Times New Roman" w:eastAsia="仿宋" w:cs="Times New Roman"/>
                <w:color w:val="000000"/>
                <w:kern w:val="0"/>
                <w:sz w:val="22"/>
              </w:rPr>
            </w:pPr>
          </w:p>
        </w:tc>
        <w:tc>
          <w:tcPr>
            <w:tcW w:w="1260" w:type="dxa"/>
            <w:vMerge w:val="continue"/>
            <w:vAlign w:val="center"/>
          </w:tcPr>
          <w:p>
            <w:pPr>
              <w:widowControl/>
              <w:spacing w:line="240" w:lineRule="exact"/>
              <w:jc w:val="center"/>
              <w:rPr>
                <w:rFonts w:hint="default" w:ascii="Times New Roman" w:hAnsi="Times New Roman" w:eastAsia="仿宋" w:cs="Times New Roman"/>
                <w:kern w:val="0"/>
                <w:sz w:val="22"/>
              </w:rPr>
            </w:pPr>
          </w:p>
        </w:tc>
        <w:tc>
          <w:tcPr>
            <w:tcW w:w="888" w:type="dxa"/>
            <w:vMerge w:val="continue"/>
            <w:vAlign w:val="center"/>
          </w:tcPr>
          <w:p>
            <w:pPr>
              <w:widowControl/>
              <w:spacing w:line="240" w:lineRule="exact"/>
              <w:jc w:val="left"/>
              <w:rPr>
                <w:rFonts w:hint="default" w:ascii="Times New Roman" w:hAnsi="Times New Roman" w:eastAsia="仿宋" w:cs="Times New Roman"/>
                <w:kern w:val="0"/>
                <w:sz w:val="22"/>
              </w:rPr>
            </w:pP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全社会</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特定群众</w:t>
            </w: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主动</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40" w:type="dxa"/>
            <w:vAlign w:val="center"/>
          </w:tcPr>
          <w:p>
            <w:pPr>
              <w:widowControl/>
              <w:spacing w:line="240" w:lineRule="exact"/>
              <w:jc w:val="center"/>
              <w:rPr>
                <w:rFonts w:hint="eastAsia" w:ascii="Times New Roman" w:hAnsi="Times New Roman" w:eastAsia="仿宋" w:cs="Times New Roman"/>
                <w:color w:val="000000"/>
                <w:kern w:val="0"/>
                <w:sz w:val="18"/>
                <w:szCs w:val="18"/>
                <w:highlight w:val="none"/>
                <w:lang w:val="en-US" w:eastAsia="zh-CN"/>
              </w:rPr>
            </w:pPr>
            <w:bookmarkStart w:id="0" w:name="_GoBack"/>
            <w:r>
              <w:rPr>
                <w:rFonts w:hint="eastAsia" w:ascii="Times New Roman" w:hAnsi="Times New Roman" w:eastAsia="仿宋" w:cs="Times New Roman"/>
                <w:color w:val="000000"/>
                <w:kern w:val="0"/>
                <w:sz w:val="18"/>
                <w:szCs w:val="18"/>
                <w:highlight w:val="none"/>
                <w:lang w:val="en-US" w:eastAsia="zh-CN"/>
              </w:rPr>
              <w:t>1</w:t>
            </w:r>
          </w:p>
        </w:tc>
        <w:tc>
          <w:tcPr>
            <w:tcW w:w="633"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安全</w:t>
            </w:r>
          </w:p>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color w:val="000000"/>
                <w:kern w:val="0"/>
                <w:sz w:val="18"/>
                <w:szCs w:val="18"/>
                <w:highlight w:val="none"/>
              </w:rPr>
              <w:t>生产</w:t>
            </w:r>
          </w:p>
        </w:tc>
        <w:tc>
          <w:tcPr>
            <w:tcW w:w="2052" w:type="dxa"/>
            <w:shd w:val="clear" w:color="auto" w:fill="FFFFFF" w:themeFill="background1"/>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color w:val="000000"/>
                <w:kern w:val="0"/>
                <w:sz w:val="18"/>
                <w:szCs w:val="18"/>
                <w:highlight w:val="none"/>
              </w:rPr>
              <w:t>安全生产工作领导小组成员名单</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color w:val="000000"/>
                <w:sz w:val="18"/>
                <w:szCs w:val="18"/>
                <w:highlight w:val="none"/>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color w:val="000000"/>
                <w:sz w:val="18"/>
                <w:szCs w:val="18"/>
                <w:highlight w:val="none"/>
              </w:rPr>
              <w:t>信息形成或变更之日起20个工作日内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kern w:val="0"/>
                <w:sz w:val="18"/>
                <w:szCs w:val="18"/>
                <w:highlight w:val="none"/>
                <w:lang w:val="en-US" w:eastAsia="zh-CN" w:bidi="ar-SA"/>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40" w:type="dxa"/>
            <w:vAlign w:val="center"/>
          </w:tcPr>
          <w:p>
            <w:pPr>
              <w:widowControl/>
              <w:spacing w:line="240" w:lineRule="exact"/>
              <w:jc w:val="center"/>
              <w:rPr>
                <w:rFonts w:hint="eastAsia" w:ascii="Times New Roman" w:hAnsi="Times New Roman" w:eastAsia="仿宋" w:cs="Times New Roman"/>
                <w:color w:val="000000"/>
                <w:kern w:val="0"/>
                <w:sz w:val="18"/>
                <w:szCs w:val="18"/>
                <w:highlight w:val="none"/>
                <w:lang w:val="en-US" w:eastAsia="zh-CN"/>
              </w:rPr>
            </w:pPr>
            <w:r>
              <w:rPr>
                <w:rFonts w:hint="eastAsia" w:ascii="Times New Roman" w:hAnsi="Times New Roman" w:eastAsia="仿宋" w:cs="Times New Roman"/>
                <w:color w:val="000000"/>
                <w:kern w:val="0"/>
                <w:sz w:val="18"/>
                <w:szCs w:val="18"/>
                <w:highlight w:val="none"/>
                <w:lang w:val="en-US" w:eastAsia="zh-CN"/>
              </w:rPr>
              <w:t>2</w:t>
            </w:r>
          </w:p>
        </w:tc>
        <w:tc>
          <w:tcPr>
            <w:tcW w:w="633"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shd w:val="clear" w:color="auto" w:fill="FFFFFF" w:themeFill="background1"/>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color w:val="000000"/>
                <w:kern w:val="0"/>
                <w:sz w:val="18"/>
                <w:szCs w:val="18"/>
                <w:highlight w:val="none"/>
              </w:rPr>
              <w:t>安全生产宣传教育工作计划</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color w:val="000000"/>
                <w:sz w:val="18"/>
                <w:szCs w:val="18"/>
                <w:highlight w:val="none"/>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color w:val="000000"/>
                <w:sz w:val="18"/>
                <w:szCs w:val="18"/>
                <w:highlight w:val="none"/>
              </w:rPr>
              <w:t>信息形成或变更之日起20个工作日内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kern w:val="0"/>
                <w:sz w:val="18"/>
                <w:szCs w:val="18"/>
                <w:highlight w:val="none"/>
                <w:lang w:val="en-US" w:eastAsia="zh-CN" w:bidi="ar-SA"/>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保障性</w:t>
            </w:r>
          </w:p>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住房</w:t>
            </w:r>
          </w:p>
        </w:tc>
        <w:tc>
          <w:tcPr>
            <w:tcW w:w="2052" w:type="dxa"/>
            <w:shd w:val="clear" w:color="auto" w:fill="FFFFFF" w:themeFill="background1"/>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公租房办理程序</w:t>
            </w:r>
          </w:p>
        </w:tc>
        <w:tc>
          <w:tcPr>
            <w:tcW w:w="5796" w:type="dxa"/>
            <w:vAlign w:val="center"/>
          </w:tcPr>
          <w:p>
            <w:pPr>
              <w:widowControl/>
              <w:spacing w:line="240" w:lineRule="exac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包头市人民政府办公室关于印发包头市关于加快推进公共租赁住房租赁补贴的实施方案（试行）等3个文件的通知包府办发【2020】48号文件</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25个工作日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kern w:val="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shd w:val="clear" w:color="auto" w:fill="FFFFFF" w:themeFill="background1"/>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包头市公共租赁住房租赁补贴发放流程图</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包头市人民政府办公室关于印发包头市关于加快推进公共租赁住房租赁补贴的实施方案（试行）等3个文件的通知包府办发【2020】48号文件</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25个工作日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kern w:val="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7</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bidi="ar-SA"/>
              </w:rPr>
            </w:pPr>
            <w:r>
              <w:rPr>
                <w:rFonts w:hint="default" w:ascii="Times New Roman" w:hAnsi="Times New Roman" w:eastAsia="仿宋" w:cs="Times New Roman"/>
                <w:color w:val="000000"/>
                <w:kern w:val="0"/>
                <w:sz w:val="18"/>
                <w:szCs w:val="18"/>
                <w:highlight w:val="none"/>
                <w:lang w:val="en-US" w:eastAsia="zh-CN"/>
              </w:rPr>
              <w:t>农村危房改造</w:t>
            </w: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部门文件</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《政府信息公开条例》、《关于全面推进政务公开工作的意见》及其实施细则</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9</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计划实施</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《住房城乡建设部 财政部 国务院扶贫办关于加强和完善建档立卡贫困户等重点对象农村危房改造若干问题的通知》等</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10</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条件与标准</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13</w:t>
            </w:r>
          </w:p>
        </w:tc>
        <w:tc>
          <w:tcPr>
            <w:tcW w:w="633" w:type="dxa"/>
            <w:vMerge w:val="restart"/>
            <w:shd w:val="clear" w:color="auto" w:fill="auto"/>
            <w:vAlign w:val="center"/>
          </w:tcPr>
          <w:p>
            <w:pPr>
              <w:widowControl/>
              <w:spacing w:line="240" w:lineRule="exact"/>
              <w:jc w:val="both"/>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社会</w:t>
            </w:r>
          </w:p>
          <w:p>
            <w:pPr>
              <w:widowControl/>
              <w:spacing w:line="240" w:lineRule="exac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救助</w:t>
            </w: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申请临时救助时应提交相关证明材料</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1.《社会救助暂行办法》第四十七条、四十八条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2.《包头市东河区临时救助制度（救、急、难）实施细则》</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5个工作日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kern w:val="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540" w:type="dxa"/>
            <w:vAlign w:val="center"/>
          </w:tcPr>
          <w:p>
            <w:pPr>
              <w:widowControl/>
              <w:tabs>
                <w:tab w:val="left" w:pos="320"/>
              </w:tabs>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1</w:t>
            </w:r>
            <w:r>
              <w:rPr>
                <w:rFonts w:hint="default" w:ascii="Times New Roman" w:hAnsi="Times New Roman" w:eastAsia="仿宋" w:cs="Times New Roman"/>
                <w:color w:val="000000"/>
                <w:kern w:val="0"/>
                <w:sz w:val="18"/>
                <w:szCs w:val="18"/>
                <w:highlight w:val="none"/>
                <w:lang w:val="en-US" w:eastAsia="zh-CN"/>
              </w:rPr>
              <w:t>4</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残疾人两项补贴的受理条件、申报材料及办理流程</w:t>
            </w:r>
          </w:p>
          <w:p>
            <w:pPr>
              <w:widowControl/>
              <w:spacing w:line="240" w:lineRule="exact"/>
              <w:rPr>
                <w:rFonts w:hint="default" w:ascii="Times New Roman" w:hAnsi="Times New Roman" w:eastAsia="仿宋" w:cs="Times New Roman"/>
                <w:color w:val="000000"/>
                <w:kern w:val="0"/>
                <w:sz w:val="18"/>
                <w:szCs w:val="18"/>
                <w:highlight w:val="none"/>
              </w:rPr>
            </w:pPr>
          </w:p>
        </w:tc>
        <w:tc>
          <w:tcPr>
            <w:tcW w:w="5796" w:type="dxa"/>
            <w:vAlign w:val="center"/>
          </w:tcPr>
          <w:p>
            <w:pPr>
              <w:widowControl/>
              <w:spacing w:line="240" w:lineRule="exac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《关于贯彻落实残疾人两项补贴制度有关政策衔接问题的通知》</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携带所需材料，到便民服务中心服务窗口进行 初审办理，初审工作在 5 个工作日内完成。</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1</w:t>
            </w:r>
            <w:r>
              <w:rPr>
                <w:rFonts w:hint="default" w:ascii="Times New Roman" w:hAnsi="Times New Roman" w:eastAsia="仿宋" w:cs="Times New Roman"/>
                <w:color w:val="000000"/>
                <w:kern w:val="0"/>
                <w:sz w:val="18"/>
                <w:szCs w:val="18"/>
                <w:highlight w:val="none"/>
                <w:lang w:val="en-US" w:eastAsia="zh-CN"/>
              </w:rPr>
              <w:t>5</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养老服务</w:t>
            </w: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东河区 80 岁以上老年人高龄津贴发放范围和发放标准</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2.包头市人民政府办公厅《关于印发包头市80岁以上低收入老年人高龄津贴发放实施办法的通知》及《包头市80岁以上低收入老年人高龄津贴发放实施办法》</w:t>
            </w:r>
          </w:p>
          <w:p>
            <w:pPr>
              <w:widowControl/>
              <w:spacing w:line="240" w:lineRule="exact"/>
              <w:ind w:firstLine="360"/>
              <w:jc w:val="left"/>
              <w:rPr>
                <w:rFonts w:hint="default" w:ascii="Times New Roman" w:hAnsi="Times New Roman" w:eastAsia="仿宋" w:cs="Times New Roman"/>
                <w:color w:val="000000"/>
                <w:kern w:val="0"/>
                <w:sz w:val="18"/>
                <w:szCs w:val="18"/>
                <w:highlight w:val="none"/>
              </w:rPr>
            </w:pP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社区居委会随时申报、随时受理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1</w:t>
            </w:r>
            <w:r>
              <w:rPr>
                <w:rFonts w:hint="default" w:ascii="Times New Roman" w:hAnsi="Times New Roman" w:eastAsia="仿宋" w:cs="Times New Roman"/>
                <w:color w:val="000000"/>
                <w:kern w:val="0"/>
                <w:sz w:val="18"/>
                <w:szCs w:val="18"/>
                <w:highlight w:val="none"/>
                <w:lang w:val="en-US" w:eastAsia="zh-CN"/>
              </w:rPr>
              <w:t>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东河区 80 岁以上老年人高龄津贴的申报、审批流程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2.包头市人民政府办公厅《关于印发包头市80岁以上低收入老年人高龄津贴发放实施办法的通知》及《包头市80岁以上低收入老年人高龄津贴发放实施办法》</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社区居委会随时申报、随时受理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1</w:t>
            </w:r>
            <w:r>
              <w:rPr>
                <w:rFonts w:hint="default" w:ascii="Times New Roman" w:hAnsi="Times New Roman" w:eastAsia="仿宋" w:cs="Times New Roman"/>
                <w:color w:val="000000"/>
                <w:kern w:val="0"/>
                <w:sz w:val="18"/>
                <w:szCs w:val="18"/>
                <w:highlight w:val="none"/>
                <w:lang w:val="en-US" w:eastAsia="zh-CN"/>
              </w:rPr>
              <w:t>7</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社会保险</w:t>
            </w: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both"/>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社会保险</w:t>
            </w: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社会保险</w:t>
            </w: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lang w:val="en-US" w:eastAsia="zh-CN"/>
              </w:rPr>
            </w:pPr>
          </w:p>
          <w:p>
            <w:pPr>
              <w:widowControl/>
              <w:spacing w:line="240" w:lineRule="exact"/>
              <w:rPr>
                <w:rFonts w:hint="default" w:ascii="Times New Roman" w:hAnsi="Times New Roman" w:eastAsia="仿宋" w:cs="Times New Roman"/>
                <w:color w:val="000000"/>
                <w:kern w:val="0"/>
                <w:sz w:val="18"/>
                <w:szCs w:val="18"/>
                <w:highlight w:val="none"/>
                <w:lang w:val="en-US" w:eastAsia="zh-CN"/>
              </w:rPr>
            </w:pPr>
          </w:p>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社会保险</w:t>
            </w: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正常退休人员申报条件及申报材料及申报流程公示</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1.《中华人民共和国社会保险法》（中华人民共和国主席令第三十五号）第十六条   </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2.《内蒙古自治区城镇职工基本养老保险条例》（内蒙古自治区第九届人民代表大会常务委员会公告1999年第31号）第十六条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3.《关于优化1998年1月参保的个体劳动者等参保人员退休审核办法的通知》包东人社字〔2019〕38号文件       </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18</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城乡居民养老保险参保受理条件、申报材料及办理流程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1.《中华人民共和国社会保险法》第二十条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3.《关于印发城乡居民基本养老保险经办规程的通知》（人社部发〔2014〕23号）第六条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4.《内蒙古自治区人民政府关于进一步完善城乡居民基本养老保险制度的意见（内政发〔2015〕21号）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5.《关于加强城乡居民养老保险有关工作的通知》（包人社办字〔2018〕232号）     </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19</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城乡居民养老保险个人基本信息变更受理条件、申报材料及办理流程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1.《关于印发城乡居民基本养老保险经办规程的通知》（人社部发〔2014〕23号）第十条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2.《内蒙古自治区人民政府关于进一步完善城乡居民基本养老保险制度的意见》（内政发〔2015〕21号）</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20</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城乡居民养老保险缴费受理条件、缴费标准、申报材料及办理流程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《关于印发内蒙古自治区城乡居民基本养老保险经办规程的通知》（内人社发〔2015〕54号）第三章保险费收缴第十一条规定</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21</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城乡居民养老保险待遇申领受理条件、申报材料及办理流程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1.《中华人民共和国社会保险法》第二十条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3.《关于印发城乡居民基本养老保险经办规程的通知》（人社部发〔2014〕23号）第六条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4.《内蒙古自治区人民政府关于进一步完善城乡居民基本养老保险制度的意见（内政发〔2015〕21号）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5.《关于加强城乡居民养老保险有关工作的通知》（包人社办字〔2018〕232号）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22</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城乡居民养老保险丧葬费申请办理申报条件、申报材料及申报流程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1.《中华人民共和国社会保险法》第十七条：                                                                                                </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3.《人力资源社会保障部关于印发城乡居民基本养老保险经办规程的通知》（人社部发〔2014〕23号）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4.《关于设立领取丧葬费补助金过度期的通知》包人社办字〔2019〕56号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23</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城乡居民养老保险注销登记申报材料、受理条件及申报流程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2.《人力资源和社会保障部关于印发城乡居民基本养老保险经办规程的通知》（人社部发〔2014〕23号）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24</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养老保险待遇领取人员信息采集认证受理条件、申报材料及申报流程</w:t>
            </w:r>
          </w:p>
        </w:tc>
        <w:tc>
          <w:tcPr>
            <w:tcW w:w="5796" w:type="dxa"/>
            <w:vAlign w:val="center"/>
          </w:tcPr>
          <w:p>
            <w:pPr>
              <w:widowControl/>
              <w:numPr>
                <w:ilvl w:val="0"/>
                <w:numId w:val="1"/>
              </w:numPr>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《社会保险法》第十一章第八十八条、第十二条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2.《内蒙古自治区养老保险待遇资格认证办法》（内社发〔2012〕14号）第三条认证办法和程序</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3.《关于开展2020年度全市养老保险待遇领取人员信息采集及资格认证工作的通知》（包东人社字〔2020〕4号）                                                                                                                                            </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办结时限：截止时间为2020年9月30日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25</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国有企业退休人员社会化管理工作受理条件、申报材料及申报流程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《国有企业退休人员社会化管理工作方案》（包东政办发〔2019〕93号）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相关证件资料齐全审核通过后，1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就业困难人员社会保险补贴申领工作受理条件、申报材料及申报流程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1.《国务院关于进一步做好新形势下就业创业工作的意见》（国发〔2015〕23号）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2.《关于印发〈就业补助资金管理办法〉的通知》（财社〔2017〕164号）第四条、第七条                                                                                                                              </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3.《关于进一步加大就业扶贫政策支持力度着力提高劳务组织化程度的通知》（人社部发〔2018〕64号）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20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27</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城镇居民最低生活保障待遇初审工作受理条件、申报材料及申报流程</w:t>
            </w:r>
          </w:p>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1.《社会救助暂行办法》第九条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2.《国务院关于进一步加强和改进最低生活保障工作的意见》（国发〔2012〕45号）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3.《最低生活保障审核审批办法》（民发〔2012〕第220号）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4.包头市人民政府办公厅《包头市最低生活保障对象认定办法》（包府办发〔2016〕11号）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5.《东河区最低生活保障对象认定办法》（包东政办发〔2017〕252号）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15个工作日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28</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城镇居民大病救助申请受理条件、申报材料及申报流程</w:t>
            </w:r>
          </w:p>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《内蒙古自治区重特大疾病慈善医疗救助实施方案》</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办结时限：11个工作日（已整天为单位）</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30</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城乡居民医疗保险参保和续保受理条件、申报材料及申报流程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1.《中华人民共和国社会保险法》第二十五条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2.《内蒙古自治区医疗保障局财政厅关于做好2019年城乡居民基本医疗保险工作的通知》（内医保发〔2019〕6号）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3.《关于调整包头市城镇职工和城乡居民基本医疗保险待遇标准等政策的通知》（包府办发〔2018〕146号文件）</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4.《关于做好2020年度城乡居民基本医疗保险参保缴费工作的通知》</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办结时限：2019 年 10 月 15 日-2020 年 4 月 25 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31</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高校毕业生社会保险补贴认定受理条件、申报材料及申报流程</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《包头市高校毕业生社会保险补贴实施办法》（包人社办字〔2019〕102号）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32</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就业失业登记认定受理条件、申报材料及申报流程</w:t>
            </w:r>
            <w:r>
              <w:rPr>
                <w:rFonts w:hint="default" w:ascii="Times New Roman" w:hAnsi="Times New Roman" w:eastAsia="仿宋" w:cs="Times New Roman"/>
                <w:color w:val="000000"/>
                <w:kern w:val="0"/>
                <w:sz w:val="18"/>
                <w:szCs w:val="18"/>
                <w:highlight w:val="none"/>
                <w:lang w:val="en-US" w:eastAsia="zh-CN"/>
              </w:rPr>
              <w:t xml:space="preserve">   </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1《中华人民共和国就业促进法》第三十五条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2.《就业服务与就业管理规定》（中华人民共和国劳动和社会保障部令第28号，2014年、2015年分别修订）第二十五条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3.《关于进一步加强公共就业服务体系建设的指导意见》（人社部发〔2009〕116号）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4.《关于印发就业失业登记证管理暂行办法的通知》（人社部发〔2010〕75号）    </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5.《关于进一步完善公共就业服务体系有关问题的通知》（人社部发〔2012〕103号）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6.《关于进一步完善就业失业登记管理办法的通知》（人社部发〔2014〕97号）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33</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both"/>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《就业创业证》申领的受理条件、申报材料及申报流程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1.《就业服务与就业管理规定》（中华人民共和国劳动和社会保障部令第28号，2014年、2015年分别修订）第六十一条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2.《关于印发就业失业登记证管理暂行办法的通知》（人社部发〔2010〕75号）第一条、第二条、第三条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3.《关于进一步完善就业失业登记管理办法的通知》（人社部发〔2014〕97号）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4.国务院《关于进一步做好新形势下就业创业工作的意见》（国发﹝2015﹞23号）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5.人力资源社会保障部《关于修改&lt;就业服务与就业管理规定&gt;的决定》（人力资源社会保障部令第23号）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34</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市政服务</w:t>
            </w: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center"/>
              <w:rPr>
                <w:rFonts w:hint="default" w:ascii="Times New Roman" w:hAnsi="Times New Roman" w:eastAsia="仿宋" w:cs="Times New Roman"/>
                <w:color w:val="000000"/>
                <w:kern w:val="0"/>
                <w:sz w:val="18"/>
                <w:szCs w:val="18"/>
                <w:highlight w:val="none"/>
              </w:rPr>
            </w:pPr>
          </w:p>
          <w:p>
            <w:pPr>
              <w:widowControl/>
              <w:spacing w:line="240" w:lineRule="exact"/>
              <w:jc w:val="both"/>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both"/>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婚育情况证明受理条件、申报材料及申报流程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1.包头市家庭人口数报整合统计分析系统：《内蒙古自治区卫生计生委关于做好全面两孩政策实施后计划生育奖励扶助政策调整衔接的通知》（内卫计规范〔2016〕3号）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 xml:space="preserve">2.中华人民共和国国务院令（第555号）、《流动人口计划生育工作条例》第七条 </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相关证件资料齐全审核通过后，1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35</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一孩、二孩生育服务登记受理条件、申报材料及申报流程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1.《中共中央国务院关于实施全面两孩政策改革完善计划生育服务管理的决定》（中发〔2015〕40号）；《中华人民共和国人口与计划生育法》；</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2.《内蒙古自治区人口与计划生育条例》第八条</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3.《包头市实行一孩服务登记制度的通知》（包人口计生发〔2013〕46号）</w:t>
            </w:r>
          </w:p>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4.《包头市关于实施生育登记服务制度有关事宜的通知》（包人口计生发〔2017〕96号）</w:t>
            </w:r>
          </w:p>
        </w:tc>
        <w:tc>
          <w:tcPr>
            <w:tcW w:w="1020" w:type="dxa"/>
            <w:vAlign w:val="center"/>
          </w:tcPr>
          <w:p>
            <w:pPr>
              <w:widowControl/>
              <w:spacing w:line="240" w:lineRule="exac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相关证件资料齐全审核通过后，3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rPr>
                <w:rFonts w:hint="default" w:ascii="Times New Roman" w:hAnsi="Times New Roman" w:eastAsia="仿宋" w:cs="Times New Roman"/>
                <w:bCs/>
                <w:sz w:val="18"/>
                <w:szCs w:val="18"/>
                <w:highlight w:val="none"/>
              </w:rPr>
            </w:pPr>
          </w:p>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p>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党组织关系转接受理条件、申报材料及申报流程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中共中央组织部关于印发《关于进一步加强党员组织关系管理的意见》的通知　2004年11月1日·中组发〔2004〕10号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介绍信和存根上注明有效期，有效期可根据具体情况确定，一般不应超过 3 个月。</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highlight w:val="none"/>
              </w:rPr>
            </w:pPr>
            <w:r>
              <w:rPr>
                <w:rFonts w:hint="default" w:ascii="Times New Roman" w:hAnsi="Times New Roman" w:eastAsia="仿宋" w:cs="Times New Roman"/>
                <w:color w:val="000000"/>
                <w:sz w:val="18"/>
                <w:szCs w:val="18"/>
                <w:highlight w:val="none"/>
                <w:lang w:eastAsia="zh-CN"/>
              </w:rPr>
              <w:t>镇</w:t>
            </w:r>
            <w:r>
              <w:rPr>
                <w:rFonts w:hint="default" w:ascii="Times New Roman" w:hAnsi="Times New Roman" w:eastAsia="仿宋" w:cs="Times New Roman"/>
                <w:color w:val="000000"/>
                <w:sz w:val="18"/>
                <w:szCs w:val="18"/>
                <w:highlight w:val="none"/>
              </w:rPr>
              <w:t>公示栏</w:t>
            </w:r>
            <w:r>
              <w:rPr>
                <w:rFonts w:hint="default" w:ascii="Times New Roman" w:hAnsi="Times New Roman" w:eastAsia="仿宋" w:cs="Times New Roman"/>
                <w:color w:val="00000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highlight w:val="none"/>
              </w:rPr>
            </w:pPr>
            <w:r>
              <w:rPr>
                <w:rFonts w:hint="default" w:ascii="Times New Roman" w:hAnsi="Times New Roman" w:eastAsia="仿宋" w:cs="Times New Roman"/>
                <w:bCs/>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38</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p>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扶贫领域</w:t>
            </w:r>
          </w:p>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中央及地方政府涉及扶贫领域的行政法规</w:t>
            </w:r>
            <w:r>
              <w:rPr>
                <w:rFonts w:hint="default" w:ascii="Times New Roman" w:hAnsi="Times New Roman" w:eastAsia="仿宋" w:cs="Times New Roman"/>
                <w:color w:val="000000"/>
                <w:kern w:val="0"/>
                <w:sz w:val="18"/>
                <w:szCs w:val="18"/>
                <w:highlight w:val="none"/>
              </w:rPr>
              <w:br w:type="textWrapping"/>
            </w:r>
            <w:r>
              <w:rPr>
                <w:rFonts w:hint="default" w:ascii="Times New Roman" w:hAnsi="Times New Roman" w:eastAsia="仿宋" w:cs="Times New Roman"/>
                <w:color w:val="000000"/>
                <w:kern w:val="0"/>
                <w:sz w:val="18"/>
                <w:szCs w:val="18"/>
                <w:highlight w:val="none"/>
              </w:rPr>
              <w:t>中央及地方政府涉及扶贫领域的规章</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39</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各级政府及部门涉及扶贫领域的规范性文件</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40</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涉及扶贫领域其他政策文件</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40"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41</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资金名称</w:t>
            </w:r>
            <w:r>
              <w:rPr>
                <w:rFonts w:hint="default" w:ascii="Times New Roman" w:hAnsi="Times New Roman" w:eastAsia="仿宋" w:cs="Times New Roman"/>
                <w:color w:val="000000"/>
                <w:kern w:val="0"/>
                <w:sz w:val="18"/>
                <w:szCs w:val="18"/>
                <w:highlight w:val="none"/>
              </w:rPr>
              <w:br w:type="textWrapping"/>
            </w:r>
            <w:r>
              <w:rPr>
                <w:rFonts w:hint="default" w:ascii="Times New Roman" w:hAnsi="Times New Roman" w:eastAsia="仿宋" w:cs="Times New Roman"/>
                <w:color w:val="000000"/>
                <w:kern w:val="0"/>
                <w:sz w:val="18"/>
                <w:szCs w:val="18"/>
                <w:highlight w:val="none"/>
              </w:rPr>
              <w:t>分配结果</w:t>
            </w:r>
          </w:p>
        </w:tc>
        <w:tc>
          <w:tcPr>
            <w:tcW w:w="5796"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《国务院扶贫办、财政部关于完善扶贫资金项目公告公示制度的指导意见》</w:t>
            </w:r>
          </w:p>
        </w:tc>
        <w:tc>
          <w:tcPr>
            <w:tcW w:w="1020"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资金分配结果下达15个工作日内</w:t>
            </w:r>
          </w:p>
        </w:tc>
        <w:tc>
          <w:tcPr>
            <w:tcW w:w="1260"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540"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42</w:t>
            </w:r>
          </w:p>
        </w:tc>
        <w:tc>
          <w:tcPr>
            <w:tcW w:w="633" w:type="dxa"/>
            <w:vMerge w:val="continue"/>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p>
        </w:tc>
        <w:tc>
          <w:tcPr>
            <w:tcW w:w="2052"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年度县级扶贫资金项目计划安排情况（资金计划批复文件）计划完成情况（项目建设完成、资金使用、绩效目标和减贫机制实现情况等）</w:t>
            </w:r>
          </w:p>
        </w:tc>
        <w:tc>
          <w:tcPr>
            <w:tcW w:w="5796"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《国务院扶贫办、财政部关于完善扶贫资金项目公告公示制度的指导意见》</w:t>
            </w:r>
          </w:p>
        </w:tc>
        <w:tc>
          <w:tcPr>
            <w:tcW w:w="1020"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54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43</w:t>
            </w:r>
          </w:p>
        </w:tc>
        <w:tc>
          <w:tcPr>
            <w:tcW w:w="633" w:type="dxa"/>
            <w:vMerge w:val="restart"/>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扶贫领域</w:t>
            </w:r>
          </w:p>
        </w:tc>
        <w:tc>
          <w:tcPr>
            <w:tcW w:w="2052"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项目名称、实施地点、资金规模、实施单位、带贫减贫机制、绩效目标</w:t>
            </w:r>
          </w:p>
        </w:tc>
        <w:tc>
          <w:tcPr>
            <w:tcW w:w="5796"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《国务院扶贫办、财政部关于完善扶贫资金项目公告公示制度的指导意见》</w:t>
            </w:r>
          </w:p>
        </w:tc>
        <w:tc>
          <w:tcPr>
            <w:tcW w:w="102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696"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840"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79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54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44</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申报内容（含项目名称、项目类别、建设性质、实施地点、资金规模和筹资方式、受益对象、绩效目标、群众参与和带贫减贫机制等）</w:t>
            </w:r>
            <w:r>
              <w:rPr>
                <w:rFonts w:hint="default" w:ascii="Times New Roman" w:hAnsi="Times New Roman" w:eastAsia="仿宋" w:cs="Times New Roman"/>
                <w:color w:val="000000"/>
                <w:kern w:val="0"/>
                <w:sz w:val="18"/>
                <w:szCs w:val="18"/>
                <w:highlight w:val="none"/>
              </w:rPr>
              <w:br w:type="textWrapping"/>
            </w:r>
            <w:r>
              <w:rPr>
                <w:rFonts w:hint="default" w:ascii="Times New Roman" w:hAnsi="Times New Roman" w:eastAsia="仿宋" w:cs="Times New Roman"/>
                <w:color w:val="000000"/>
                <w:kern w:val="0"/>
                <w:sz w:val="18"/>
                <w:szCs w:val="18"/>
                <w:highlight w:val="none"/>
              </w:rPr>
              <w:t>申报流程（村申报、乡审核、县审定）</w:t>
            </w:r>
            <w:r>
              <w:rPr>
                <w:rFonts w:hint="default" w:ascii="Times New Roman" w:hAnsi="Times New Roman" w:eastAsia="仿宋" w:cs="Times New Roman"/>
                <w:color w:val="000000"/>
                <w:kern w:val="0"/>
                <w:sz w:val="18"/>
                <w:szCs w:val="18"/>
                <w:highlight w:val="none"/>
              </w:rPr>
              <w:br w:type="textWrapping"/>
            </w:r>
            <w:r>
              <w:rPr>
                <w:rFonts w:hint="default" w:ascii="Times New Roman" w:hAnsi="Times New Roman" w:eastAsia="仿宋" w:cs="Times New Roman"/>
                <w:color w:val="000000"/>
                <w:kern w:val="0"/>
                <w:sz w:val="18"/>
                <w:szCs w:val="18"/>
                <w:highlight w:val="none"/>
              </w:rPr>
              <w:t>申报结果（项目库规模、项目名单）</w:t>
            </w:r>
          </w:p>
        </w:tc>
        <w:tc>
          <w:tcPr>
            <w:tcW w:w="5796"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《国务院扶贫办、财政部关于完善扶贫资金项目公告公示制度的指导意见》《国务院扶贫办关于完善县级脱贫攻坚项目库建设的指导意见》</w:t>
            </w:r>
          </w:p>
        </w:tc>
        <w:tc>
          <w:tcPr>
            <w:tcW w:w="102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696"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840"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79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45</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扶贫领域</w:t>
            </w:r>
          </w:p>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项目名称、实施地点、建设任务、补助标准、资金来源及规模、实施期限、实施单位、责任人、绩效目标、带贫减贫机制等</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《国务院扶贫办、财政部关于完善扶贫资金项目公告公示制度的指导意见》</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2052" w:type="dxa"/>
            <w:vAlign w:val="center"/>
          </w:tcPr>
          <w:p>
            <w:pPr>
              <w:widowControl/>
              <w:spacing w:line="240" w:lineRule="exact"/>
              <w:jc w:val="both"/>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扶贫项目实施前情况（包括项目名称、资金来源、实施期限、绩效目标、实施单位及责任人、受益对象和带贫减贫机制等）</w:t>
            </w:r>
            <w:r>
              <w:rPr>
                <w:rFonts w:hint="default" w:ascii="Times New Roman" w:hAnsi="Times New Roman" w:eastAsia="仿宋" w:cs="Times New Roman"/>
                <w:color w:val="000000"/>
                <w:kern w:val="0"/>
                <w:sz w:val="18"/>
                <w:szCs w:val="18"/>
                <w:highlight w:val="none"/>
              </w:rPr>
              <w:br w:type="textWrapping"/>
            </w:r>
            <w:r>
              <w:rPr>
                <w:rFonts w:hint="default" w:ascii="Times New Roman" w:hAnsi="Times New Roman" w:eastAsia="仿宋" w:cs="Times New Roman"/>
                <w:color w:val="000000"/>
                <w:kern w:val="0"/>
                <w:sz w:val="18"/>
                <w:szCs w:val="18"/>
                <w:highlight w:val="none"/>
              </w:rPr>
              <w:t>扶贫项目实施后情况（包括资金使用、项目实施结果、检查验收结果、绩效目标实现情况等）</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《国务院扶贫办、财政部关于完善扶贫资金项目公告公示制度的指导意见》</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val="en-US" w:eastAsia="zh-CN"/>
              </w:rPr>
              <w:t>47</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监督电话（12317）</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《国务院扶贫办、财政部关于完善扶贫资金项目公告公示制度的指导意见》</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包头市东河区</w:t>
            </w:r>
            <w:r>
              <w:rPr>
                <w:rFonts w:hint="default" w:ascii="Times New Roman" w:hAnsi="Times New Roman" w:eastAsia="仿宋" w:cs="Times New Roman"/>
                <w:color w:val="000000"/>
                <w:kern w:val="0"/>
                <w:sz w:val="18"/>
                <w:szCs w:val="18"/>
                <w:highlight w:val="none"/>
                <w:lang w:eastAsia="zh-CN"/>
              </w:rPr>
              <w:t>河东镇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lang w:eastAsia="zh-CN"/>
              </w:rPr>
              <w:t>镇</w:t>
            </w:r>
            <w:r>
              <w:rPr>
                <w:rFonts w:hint="default" w:ascii="Times New Roman" w:hAnsi="Times New Roman" w:eastAsia="仿宋" w:cs="Times New Roman"/>
                <w:color w:val="000000"/>
                <w:kern w:val="0"/>
                <w:sz w:val="18"/>
                <w:szCs w:val="18"/>
                <w:highlight w:val="none"/>
              </w:rPr>
              <w:t>公示栏</w:t>
            </w:r>
            <w:r>
              <w:rPr>
                <w:rFonts w:hint="default" w:ascii="Times New Roman" w:hAnsi="Times New Roman" w:eastAsia="仿宋" w:cs="Times New Roman"/>
                <w:color w:val="000000"/>
                <w:kern w:val="0"/>
                <w:sz w:val="18"/>
                <w:szCs w:val="18"/>
                <w:highlight w:val="none"/>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r>
              <w:rPr>
                <w:rFonts w:hint="default" w:ascii="Times New Roman" w:hAnsi="Times New Roman" w:eastAsia="仿宋" w:cs="Times New Roman"/>
                <w:color w:val="000000"/>
                <w:kern w:val="0"/>
                <w:sz w:val="18"/>
                <w:szCs w:val="18"/>
                <w:highlight w:val="none"/>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highlight w:val="none"/>
                <w:lang w:val="en-US" w:eastAsia="zh-CN"/>
              </w:rPr>
            </w:pPr>
          </w:p>
        </w:tc>
      </w:tr>
    </w:tbl>
    <w:p>
      <w:pPr>
        <w:widowControl/>
        <w:spacing w:line="240" w:lineRule="exact"/>
        <w:jc w:val="center"/>
        <w:rPr>
          <w:rFonts w:hint="default" w:ascii="Times New Roman" w:hAnsi="Times New Roman" w:eastAsia="仿宋" w:cs="Times New Roman"/>
          <w:color w:val="000000"/>
          <w:kern w:val="0"/>
          <w:sz w:val="18"/>
          <w:szCs w:val="18"/>
          <w:highlight w:val="none"/>
        </w:rPr>
      </w:pPr>
    </w:p>
    <w:bookmarkEnd w:id="0"/>
    <w:sectPr>
      <w:pgSz w:w="16783" w:h="11850" w:orient="landscape"/>
      <w:pgMar w:top="1800" w:right="113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CE5BE"/>
    <w:multiLevelType w:val="singleLevel"/>
    <w:tmpl w:val="6ECCE5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YjZhZWMzY2Q2ODgyNGE1OGIzNDhiMTk2NTZkZDYifQ=="/>
  </w:docVars>
  <w:rsids>
    <w:rsidRoot w:val="590A4697"/>
    <w:rsid w:val="004A5159"/>
    <w:rsid w:val="005D0615"/>
    <w:rsid w:val="008A09E0"/>
    <w:rsid w:val="00E96764"/>
    <w:rsid w:val="01255924"/>
    <w:rsid w:val="0EE3563C"/>
    <w:rsid w:val="0EF8778C"/>
    <w:rsid w:val="169B6E0C"/>
    <w:rsid w:val="1BD27BBD"/>
    <w:rsid w:val="1C1B401C"/>
    <w:rsid w:val="200471C0"/>
    <w:rsid w:val="20225B1C"/>
    <w:rsid w:val="21B95529"/>
    <w:rsid w:val="221F0CF9"/>
    <w:rsid w:val="22456A83"/>
    <w:rsid w:val="23F043C4"/>
    <w:rsid w:val="246E5148"/>
    <w:rsid w:val="2AA92647"/>
    <w:rsid w:val="2AEA7F64"/>
    <w:rsid w:val="30234289"/>
    <w:rsid w:val="37252A8C"/>
    <w:rsid w:val="45F4156A"/>
    <w:rsid w:val="481A1299"/>
    <w:rsid w:val="49475E47"/>
    <w:rsid w:val="4BAC730E"/>
    <w:rsid w:val="540D1095"/>
    <w:rsid w:val="590A4697"/>
    <w:rsid w:val="62096BC2"/>
    <w:rsid w:val="63EB4CCB"/>
    <w:rsid w:val="6C7A33C4"/>
    <w:rsid w:val="6EFE76CA"/>
    <w:rsid w:val="7711174D"/>
    <w:rsid w:val="78EE5723"/>
    <w:rsid w:val="7D1A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6116</Words>
  <Characters>6487</Characters>
  <Lines>51</Lines>
  <Paragraphs>14</Paragraphs>
  <TotalTime>3</TotalTime>
  <ScaleCrop>false</ScaleCrop>
  <LinksUpToDate>false</LinksUpToDate>
  <CharactersWithSpaces>6904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2021-03-15T06:56:00Z</dcterms:created>
  <dc:creator>Administrator</dc:creator>
  <cp:lastModifiedBy>忧蓝风筝</cp:lastModifiedBy>
  <cp:lastPrinted>2020-12-25T04:36:00Z</cp:lastPrinted>
  <dcterms:modified xsi:type="dcterms:W3CDTF">2023-10-11T02:30:22Z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0_btnclosed</vt:lpwstr>
  </property>
  <property fmtid="{D5CDD505-2E9C-101B-9397-08002B2CF9AE}" pid="4" name="ICV">
    <vt:lpwstr>21BA5DA6BB5C4601BB1F44B93A0A7631</vt:lpwstr>
  </property>
</Properties>
</file>