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00" w:lineRule="exact"/>
        <w:jc w:val="center"/>
        <w:rPr>
          <w:rFonts w:ascii="方正小标宋_GBK" w:hAnsi="方正小标宋_GBK" w:eastAsia="方正小标宋_GBK"/>
          <w:b w:val="0"/>
          <w:bCs w:val="0"/>
          <w:szCs w:val="72"/>
        </w:rPr>
      </w:pPr>
      <w:r>
        <w:rPr>
          <w:rFonts w:hint="eastAsia" w:ascii="方正小标宋_GBK" w:hAnsi="方正小标宋_GBK" w:eastAsia="方正小标宋_GBK"/>
          <w:b w:val="0"/>
          <w:bCs w:val="0"/>
          <w:szCs w:val="72"/>
          <w:lang w:val="en-US" w:eastAsia="zh-CN"/>
        </w:rPr>
        <w:t>沙尔沁</w:t>
      </w:r>
      <w:r>
        <w:rPr>
          <w:rFonts w:hint="eastAsia" w:ascii="方正小标宋_GBK" w:hAnsi="方正小标宋_GBK" w:eastAsia="方正小标宋_GBK"/>
          <w:b w:val="0"/>
          <w:bCs w:val="0"/>
          <w:szCs w:val="72"/>
          <w:lang w:eastAsia="zh-CN"/>
        </w:rPr>
        <w:t>镇</w:t>
      </w:r>
      <w:r>
        <w:rPr>
          <w:rFonts w:hint="eastAsia" w:ascii="方正小标宋_GBK" w:hAnsi="方正小标宋_GBK" w:eastAsia="方正小标宋_GBK"/>
          <w:b w:val="0"/>
          <w:bCs w:val="0"/>
          <w:szCs w:val="72"/>
        </w:rPr>
        <w:t>基层政务公开标准目录</w:t>
      </w:r>
    </w:p>
    <w:p>
      <w:pPr>
        <w:pStyle w:val="2"/>
        <w:spacing w:before="0" w:after="0" w:line="240" w:lineRule="exact"/>
        <w:jc w:val="center"/>
        <w:rPr>
          <w:rFonts w:ascii="方正小标宋_GBK" w:hAnsi="方正小标宋_GBK" w:eastAsia="方正小标宋_GBK"/>
          <w:b w:val="0"/>
          <w:bCs w:val="0"/>
          <w:szCs w:val="72"/>
        </w:rPr>
      </w:pPr>
    </w:p>
    <w:tbl>
      <w:tblPr>
        <w:tblStyle w:val="3"/>
        <w:tblpPr w:leftFromText="180" w:rightFromText="180" w:vertAnchor="page" w:horzAnchor="page" w:tblpXSpec="center" w:tblpY="2598"/>
        <w:tblOverlap w:val="never"/>
        <w:tblW w:w="15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33"/>
        <w:gridCol w:w="2052"/>
        <w:gridCol w:w="5796"/>
        <w:gridCol w:w="1020"/>
        <w:gridCol w:w="1260"/>
        <w:gridCol w:w="888"/>
        <w:gridCol w:w="528"/>
        <w:gridCol w:w="696"/>
        <w:gridCol w:w="84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序号</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公开事项名称</w:t>
            </w:r>
          </w:p>
        </w:tc>
        <w:tc>
          <w:tcPr>
            <w:tcW w:w="2052" w:type="dxa"/>
            <w:vMerge w:val="restart"/>
            <w:shd w:val="clear" w:color="auto" w:fill="auto"/>
            <w:vAlign w:val="center"/>
          </w:tcPr>
          <w:p>
            <w:pPr>
              <w:widowControl/>
              <w:spacing w:line="240" w:lineRule="exact"/>
              <w:jc w:val="center"/>
              <w:rPr>
                <w:rFonts w:hint="default" w:ascii="Times New Roman" w:hAnsi="Times New Roman" w:eastAsia="仿宋" w:cs="Times New Roman"/>
                <w:kern w:val="0"/>
                <w:sz w:val="22"/>
              </w:rPr>
            </w:pPr>
            <w:r>
              <w:rPr>
                <w:rFonts w:hint="default" w:ascii="Times New Roman" w:hAnsi="Times New Roman" w:eastAsia="仿宋" w:cs="Times New Roman"/>
                <w:kern w:val="0"/>
                <w:sz w:val="22"/>
              </w:rPr>
              <w:t>公开内容（要素）</w:t>
            </w:r>
          </w:p>
        </w:tc>
        <w:tc>
          <w:tcPr>
            <w:tcW w:w="5796"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公开依据</w:t>
            </w:r>
          </w:p>
        </w:tc>
        <w:tc>
          <w:tcPr>
            <w:tcW w:w="1020"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公开时限</w:t>
            </w:r>
          </w:p>
        </w:tc>
        <w:tc>
          <w:tcPr>
            <w:tcW w:w="1260" w:type="dxa"/>
            <w:vMerge w:val="restart"/>
            <w:shd w:val="clear" w:color="auto" w:fill="auto"/>
            <w:vAlign w:val="center"/>
          </w:tcPr>
          <w:p>
            <w:pPr>
              <w:widowControl/>
              <w:spacing w:line="240" w:lineRule="exact"/>
              <w:jc w:val="center"/>
              <w:rPr>
                <w:rFonts w:hint="default" w:ascii="Times New Roman" w:hAnsi="Times New Roman" w:eastAsia="仿宋" w:cs="Times New Roman"/>
                <w:kern w:val="0"/>
                <w:sz w:val="22"/>
              </w:rPr>
            </w:pPr>
            <w:r>
              <w:rPr>
                <w:rFonts w:hint="default" w:ascii="Times New Roman" w:hAnsi="Times New Roman" w:eastAsia="仿宋" w:cs="Times New Roman"/>
                <w:kern w:val="0"/>
                <w:sz w:val="22"/>
              </w:rPr>
              <w:t>公开主体</w:t>
            </w:r>
          </w:p>
        </w:tc>
        <w:tc>
          <w:tcPr>
            <w:tcW w:w="888" w:type="dxa"/>
            <w:vMerge w:val="restart"/>
            <w:shd w:val="clear" w:color="auto" w:fill="auto"/>
            <w:vAlign w:val="center"/>
          </w:tcPr>
          <w:p>
            <w:pPr>
              <w:widowControl/>
              <w:spacing w:line="240" w:lineRule="exact"/>
              <w:jc w:val="center"/>
              <w:rPr>
                <w:rFonts w:hint="default" w:ascii="Times New Roman" w:hAnsi="Times New Roman" w:eastAsia="仿宋" w:cs="Times New Roman"/>
                <w:kern w:val="0"/>
                <w:sz w:val="22"/>
              </w:rPr>
            </w:pPr>
            <w:r>
              <w:rPr>
                <w:rFonts w:hint="default" w:ascii="Times New Roman" w:hAnsi="Times New Roman" w:eastAsia="仿宋" w:cs="Times New Roman"/>
                <w:kern w:val="0"/>
                <w:sz w:val="22"/>
              </w:rPr>
              <w:t>公开渠道和载体</w:t>
            </w:r>
          </w:p>
        </w:tc>
        <w:tc>
          <w:tcPr>
            <w:tcW w:w="1224" w:type="dxa"/>
            <w:gridSpan w:val="2"/>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公开对象</w:t>
            </w:r>
          </w:p>
        </w:tc>
        <w:tc>
          <w:tcPr>
            <w:tcW w:w="1638" w:type="dxa"/>
            <w:gridSpan w:val="2"/>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0" w:type="dxa"/>
            <w:vMerge w:val="continue"/>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p>
        </w:tc>
        <w:tc>
          <w:tcPr>
            <w:tcW w:w="2052" w:type="dxa"/>
            <w:vMerge w:val="continue"/>
            <w:vAlign w:val="center"/>
          </w:tcPr>
          <w:p>
            <w:pPr>
              <w:widowControl/>
              <w:spacing w:line="240" w:lineRule="exact"/>
              <w:jc w:val="center"/>
              <w:rPr>
                <w:rFonts w:hint="default" w:ascii="Times New Roman" w:hAnsi="Times New Roman" w:eastAsia="仿宋" w:cs="Times New Roman"/>
                <w:kern w:val="0"/>
                <w:sz w:val="22"/>
              </w:rPr>
            </w:pPr>
          </w:p>
        </w:tc>
        <w:tc>
          <w:tcPr>
            <w:tcW w:w="5796" w:type="dxa"/>
            <w:vMerge w:val="continue"/>
            <w:vAlign w:val="center"/>
          </w:tcPr>
          <w:p>
            <w:pPr>
              <w:widowControl/>
              <w:spacing w:line="240" w:lineRule="exact"/>
              <w:jc w:val="left"/>
              <w:rPr>
                <w:rFonts w:hint="default" w:ascii="Times New Roman" w:hAnsi="Times New Roman" w:eastAsia="仿宋" w:cs="Times New Roman"/>
                <w:color w:val="000000"/>
                <w:kern w:val="0"/>
                <w:sz w:val="22"/>
              </w:rPr>
            </w:pPr>
          </w:p>
        </w:tc>
        <w:tc>
          <w:tcPr>
            <w:tcW w:w="1020" w:type="dxa"/>
            <w:vMerge w:val="continue"/>
            <w:vAlign w:val="center"/>
          </w:tcPr>
          <w:p>
            <w:pPr>
              <w:widowControl/>
              <w:spacing w:line="240" w:lineRule="exact"/>
              <w:jc w:val="center"/>
              <w:rPr>
                <w:rFonts w:hint="default" w:ascii="Times New Roman" w:hAnsi="Times New Roman" w:eastAsia="仿宋" w:cs="Times New Roman"/>
                <w:color w:val="000000"/>
                <w:kern w:val="0"/>
                <w:sz w:val="22"/>
              </w:rPr>
            </w:pPr>
          </w:p>
        </w:tc>
        <w:tc>
          <w:tcPr>
            <w:tcW w:w="1260" w:type="dxa"/>
            <w:vMerge w:val="continue"/>
            <w:vAlign w:val="center"/>
          </w:tcPr>
          <w:p>
            <w:pPr>
              <w:widowControl/>
              <w:spacing w:line="240" w:lineRule="exact"/>
              <w:jc w:val="center"/>
              <w:rPr>
                <w:rFonts w:hint="default" w:ascii="Times New Roman" w:hAnsi="Times New Roman" w:eastAsia="仿宋" w:cs="Times New Roman"/>
                <w:kern w:val="0"/>
                <w:sz w:val="22"/>
              </w:rPr>
            </w:pPr>
          </w:p>
        </w:tc>
        <w:tc>
          <w:tcPr>
            <w:tcW w:w="888" w:type="dxa"/>
            <w:vMerge w:val="continue"/>
            <w:vAlign w:val="center"/>
          </w:tcPr>
          <w:p>
            <w:pPr>
              <w:widowControl/>
              <w:spacing w:line="240" w:lineRule="exact"/>
              <w:jc w:val="left"/>
              <w:rPr>
                <w:rFonts w:hint="default" w:ascii="Times New Roman" w:hAnsi="Times New Roman" w:eastAsia="仿宋" w:cs="Times New Roman"/>
                <w:kern w:val="0"/>
                <w:sz w:val="22"/>
              </w:rPr>
            </w:pP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全社会</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特定群众</w:t>
            </w: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主动</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安全</w:t>
            </w: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生产</w:t>
            </w: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安全生产工作领导小组成员名单</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color w:val="000000"/>
                <w:sz w:val="18"/>
                <w:szCs w:val="18"/>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color w:val="000000"/>
                <w:sz w:val="18"/>
                <w:szCs w:val="18"/>
              </w:rPr>
              <w:t>信息形成或变更之日起20个工作日内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安全生产宣传教育工作计划</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color w:val="000000"/>
                <w:sz w:val="18"/>
                <w:szCs w:val="18"/>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color w:val="000000"/>
                <w:sz w:val="18"/>
                <w:szCs w:val="18"/>
              </w:rPr>
              <w:t>信息形成或变更之日起20个工作日内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bidi="ar-SA"/>
              </w:rPr>
            </w:pPr>
            <w:r>
              <w:rPr>
                <w:rFonts w:hint="default" w:ascii="Times New Roman" w:hAnsi="Times New Roman" w:eastAsia="仿宋" w:cs="Times New Roman"/>
                <w:color w:val="000000"/>
                <w:kern w:val="0"/>
                <w:sz w:val="18"/>
                <w:szCs w:val="18"/>
                <w:lang w:val="en-US" w:eastAsia="zh-CN"/>
              </w:rPr>
              <w:t>农村危房改造</w:t>
            </w: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val="en-US" w:eastAsia="zh-CN"/>
              </w:rPr>
              <w:t>部门文件</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《政府信息公开条例》、《关于全面推进政务公开工作的意见》及其实施细则</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4</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val="en-US" w:eastAsia="zh-CN"/>
              </w:rPr>
              <w:t>政策解读</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《政府信息公开条例》、《关于全面推进政务公开工作的意见》及其实施细则</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5</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计划实施</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《住房城乡建设部 财政部 国务院扶贫办关于加强和完善建档立卡贫困户等重点对象农村危房改造若干问题的通知》等</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条件与标准</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7</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决策部署</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《关于全面推进政务公开工作的意见》及其实施细则</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8</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shd w:val="clear" w:color="auto" w:fill="FFFFFF" w:themeFill="background1"/>
            <w:vAlign w:val="center"/>
          </w:tcPr>
          <w:p>
            <w:pPr>
              <w:widowControl/>
              <w:spacing w:line="240" w:lineRule="exact"/>
              <w:jc w:val="left"/>
              <w:rPr>
                <w:rFonts w:hint="default" w:ascii="Times New Roman" w:hAnsi="Times New Roman" w:eastAsia="仿宋" w:cs="Times New Roman"/>
                <w:color w:val="000000"/>
                <w:kern w:val="0"/>
                <w:sz w:val="18"/>
                <w:szCs w:val="18"/>
              </w:rPr>
            </w:pPr>
          </w:p>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舆情收集、热点及关键问题回应</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《政府信息公开条例》、《关于全面推进政务公开工作的意见》及其实施细则</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9</w:t>
            </w:r>
          </w:p>
        </w:tc>
        <w:tc>
          <w:tcPr>
            <w:tcW w:w="633" w:type="dxa"/>
            <w:vMerge w:val="restart"/>
            <w:shd w:val="clear" w:color="auto" w:fill="auto"/>
            <w:vAlign w:val="center"/>
          </w:tcPr>
          <w:p>
            <w:pPr>
              <w:widowControl/>
              <w:spacing w:line="240" w:lineRule="exact"/>
              <w:jc w:val="both"/>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社会</w:t>
            </w:r>
          </w:p>
          <w:p>
            <w:pPr>
              <w:widowControl/>
              <w:spacing w:line="240" w:lineRule="exac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救助</w:t>
            </w: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申请临时救助时应提交相关证明材料</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1.《社会救助暂行办法》第四十七条、四十八条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2.《包头市东河区临时救助制度（救、急、难）实施细则》</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kern w:val="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540" w:type="dxa"/>
            <w:vAlign w:val="center"/>
          </w:tcPr>
          <w:p>
            <w:pPr>
              <w:widowControl/>
              <w:tabs>
                <w:tab w:val="left" w:pos="320"/>
              </w:tabs>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10</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残疾人两项补贴的受理条件、申报材料及办理流程</w:t>
            </w:r>
          </w:p>
          <w:p>
            <w:pPr>
              <w:widowControl/>
              <w:spacing w:line="240" w:lineRule="exact"/>
              <w:rPr>
                <w:rFonts w:hint="default" w:ascii="Times New Roman" w:hAnsi="Times New Roman" w:eastAsia="仿宋" w:cs="Times New Roman"/>
                <w:color w:val="000000"/>
                <w:kern w:val="0"/>
                <w:sz w:val="18"/>
                <w:szCs w:val="18"/>
              </w:rPr>
            </w:pPr>
          </w:p>
        </w:tc>
        <w:tc>
          <w:tcPr>
            <w:tcW w:w="5796" w:type="dxa"/>
            <w:vAlign w:val="center"/>
          </w:tcPr>
          <w:p>
            <w:pPr>
              <w:widowControl/>
              <w:spacing w:line="240" w:lineRule="exac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《关于贯彻落实残疾人两项补贴制度有关政策衔接问题的通知》</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携带所需材料，到便民服务中心服务窗口进行 初审办理，初审工作在 5 个工作日内完成。</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11</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养老服务</w:t>
            </w: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东河区 80 岁以上老年人高龄津贴发放范围和发放标准</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2.包头市人民政府办公厅《关于印发包头市80岁以上低收入老年人高龄津贴发放实施办法的通知》及《包头市80岁以上低收入老年人高龄津贴发放实施办法》</w:t>
            </w:r>
          </w:p>
          <w:p>
            <w:pPr>
              <w:widowControl/>
              <w:spacing w:line="240" w:lineRule="exact"/>
              <w:ind w:firstLine="360"/>
              <w:jc w:val="left"/>
              <w:rPr>
                <w:rFonts w:hint="default" w:ascii="Times New Roman" w:hAnsi="Times New Roman" w:eastAsia="仿宋" w:cs="Times New Roman"/>
                <w:color w:val="000000"/>
                <w:kern w:val="0"/>
                <w:sz w:val="18"/>
                <w:szCs w:val="18"/>
              </w:rPr>
            </w:pP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社区居委会随时申报、随时受理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12</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东河区 80 岁以上老年人</w:t>
            </w: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高龄津贴的申报、审批流程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2.包头市人民政府办公厅《关于印发包头市80岁以上低收入老年人高龄津贴发放实施办法的通知》及《包头市80岁以上低收入老年人高龄津贴发放实施办法》</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社区居委会随时申报、随时受理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13</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社会保险</w:t>
            </w: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both"/>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社会保险</w:t>
            </w: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社会保险</w:t>
            </w: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lang w:val="en-US" w:eastAsia="zh-CN"/>
              </w:rPr>
            </w:pPr>
          </w:p>
          <w:p>
            <w:pPr>
              <w:widowControl/>
              <w:spacing w:line="240" w:lineRule="exact"/>
              <w:rPr>
                <w:rFonts w:hint="default" w:ascii="Times New Roman" w:hAnsi="Times New Roman" w:eastAsia="仿宋" w:cs="Times New Roman"/>
                <w:color w:val="000000"/>
                <w:kern w:val="0"/>
                <w:sz w:val="18"/>
                <w:szCs w:val="18"/>
                <w:lang w:val="en-US" w:eastAsia="zh-CN"/>
              </w:rPr>
            </w:pP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社会保险</w:t>
            </w: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正常退休人员申报条件及申报材料及申报流程公示</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1.《中华人民共和国社会保险法》（中华人民共和国主席令第三十五号）第十六条   </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2.《内蒙古自治区城镇职工基本养老保险条例》（内蒙古自治区第九届人民代表大会常务委员会公告1999年第31号）第十六条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3.《关于优化1998年1月参保的个体劳动者等参保人员退休审核办法的通知》包东人社字〔2019〕38号文件       </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14</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城乡居民养老保险参保受理条件、申报材料及办理流程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1.《中华人民共和国社会保险法》第二十条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3.《关于印发城乡居民基本养老保险经办规程的通知》（人社部发〔2014〕23号）第六条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4.《内蒙古自治区人民政府关于进一步完善城乡居民基本养老保险制度的意见（内政发〔2015〕21号）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5.《关于加强城乡居民养老保险有关工作的通知》（包人社办字〔2018〕232号）     </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15</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城乡居民养老保险个人基本信息变更受理条件、申报材料及办理流程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1.《关于印发城乡居民基本养老保险经办规程的通知》（人社部发〔2014〕23号）第十条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2.《内蒙古自治区人民政府关于进一步完善城乡居民基本养老保险制度的意见》（内政发〔2015〕21号）</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城乡居民养老保险缴费受理条件、缴费标准、申报材料及办理流程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《关于印发内蒙古自治区城乡居民基本养老保险经办规程的通知》（内人社发〔2015〕54号）第三章保险费收缴第十一条规定</w:t>
            </w:r>
          </w:p>
        </w:tc>
        <w:tc>
          <w:tcPr>
            <w:tcW w:w="102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办结时限20个工作日内</w:t>
            </w:r>
          </w:p>
        </w:tc>
        <w:tc>
          <w:tcPr>
            <w:tcW w:w="1260"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left"/>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17</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城乡居民养老保险待遇申领受理条件、申报材料及办理流程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1.《中华人民共和国社会保险法》第二十条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3.《关于印发城乡居民基本养老保险经办规程的通知》（人社部发〔2014〕23号）第六条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4.《内蒙古自治区人民政府关于进一步完善城乡居民基本养老保险制度的意见（内政发〔2015〕21号）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5.《关于加强城乡居民养老保险有关工作的通知》（包人社办字〔2018〕232号）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18</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城乡居民养老保险丧葬费申请办理申报条件、申报材料及申报流程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1.《中华人民共和国社会保险法》第十七条：                                                                                                </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3.《人力资源社会保障部关于印发城乡居民基本养老保险经办规程的通知》（人社部发〔2014〕23号）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4.《关于设立领取丧葬费补助金过度期的通知》包人社办字〔2019〕56号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19</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城乡居民养老保险注销登记申报材料、受理条件及申报流程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1.《国务院关于建立统一的城乡居民基本养老保险制度的意见》（国发〔2014〕8号）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2.《人力资源和社会保障部关于印发城乡居民基本养老保险经办规程的通知》（人社部发〔2014〕23号）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20</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养老保险待遇领取人员信息采集认证受理条件、申报材料及申报流程</w:t>
            </w:r>
          </w:p>
        </w:tc>
        <w:tc>
          <w:tcPr>
            <w:tcW w:w="5796" w:type="dxa"/>
            <w:vAlign w:val="center"/>
          </w:tcPr>
          <w:p>
            <w:pPr>
              <w:widowControl/>
              <w:numPr>
                <w:ilvl w:val="0"/>
                <w:numId w:val="1"/>
              </w:numPr>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《社会保险法》第十一章第八十八条、第十二条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2.《内蒙古自治区养老保险待遇资格认证办法》（内社发〔2012〕14号）第三条认证办法和程序</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3.《关于开展2020年度全市养老保险待遇领取人员信息采集及资格认证工作的通知》（包东人社字〔2020〕4号）                                                                                                                                            </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办结时限：截止时间为2020年9月30日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21</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国有企业退休人员社会化管理工作受理条件、申报材料及申报流程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《国有企业退休人员社会化管理工作方案》（包东政办发〔2019〕93号）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相关证件资料齐全审核通过后，1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22</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就业困难人员社会保险补贴申领工作受理条件、申报材料及申报流程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1.《国务院关于进一步做好新形势下就业创业工作的意见》（国发〔2015〕23号）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2.《关于印发〈就业补助资金管理办法〉的通知》（财社〔2017〕164号）第四条、第七条                                                                                                                              </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3.《关于进一步加大就业扶贫政策支持力度着力提高劳务组织化程度的通知》（人社部发〔2018〕64号）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23</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城镇居民最低生活保障待遇初审工作受理条件、申报材料及申报流程</w:t>
            </w:r>
          </w:p>
          <w:p>
            <w:pPr>
              <w:widowControl/>
              <w:spacing w:line="240" w:lineRule="exact"/>
              <w:jc w:val="center"/>
              <w:rPr>
                <w:rFonts w:hint="default" w:ascii="Times New Roman" w:hAnsi="Times New Roman" w:eastAsia="仿宋" w:cs="Times New Roman"/>
                <w:color w:val="000000"/>
                <w:kern w:val="0"/>
                <w:sz w:val="18"/>
                <w:szCs w:val="18"/>
              </w:rPr>
            </w:pP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1.《社会救助暂行办法》第九条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2.《国务院关于进一步加强和改进最低生活保障工作的意见》（国发〔2012〕45号）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3.《最低生活保障审核审批办法》（民发〔2012〕第220号）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4.包头市人民政府办公厅《包头市最低生活保障对象认定办法》（包府办发〔2016〕11号）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5.《东河区最低生活保障对象认定办法》（包东政办发〔2017〕252号）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15个工作日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24</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城镇居民大病救助申请受理条件、申报材料及申报流程</w:t>
            </w:r>
          </w:p>
          <w:p>
            <w:pPr>
              <w:widowControl/>
              <w:spacing w:line="240" w:lineRule="exact"/>
              <w:jc w:val="center"/>
              <w:rPr>
                <w:rFonts w:hint="default" w:ascii="Times New Roman" w:hAnsi="Times New Roman" w:eastAsia="仿宋" w:cs="Times New Roman"/>
                <w:color w:val="000000"/>
                <w:kern w:val="0"/>
                <w:sz w:val="18"/>
                <w:szCs w:val="18"/>
              </w:rPr>
            </w:pP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《内蒙古自治区重特大疾病慈善医疗救助实施方案》</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办结时限：11个工作日（已整天为单位）</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25</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城市三无人员待遇申请认定受理条件、申报材料及申报流程</w:t>
            </w:r>
          </w:p>
          <w:p>
            <w:pPr>
              <w:widowControl/>
              <w:spacing w:line="240" w:lineRule="exact"/>
              <w:jc w:val="center"/>
              <w:rPr>
                <w:rFonts w:hint="default" w:ascii="Times New Roman" w:hAnsi="Times New Roman" w:eastAsia="仿宋" w:cs="Times New Roman"/>
                <w:color w:val="000000"/>
                <w:kern w:val="0"/>
                <w:sz w:val="18"/>
                <w:szCs w:val="18"/>
              </w:rPr>
            </w:pP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关于印发《内蒙古自治区城镇“三无”人员认定办法》做好城镇“三无”人员认定和登记工作的通知（2010.7.18）</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法定期限：15个工作日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城乡居民医疗保险参保和续保受理条件、申报材料及申报流程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1.《中华人民共和国社会保险法》第二十五条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2.《内蒙古自治区医疗保障局财政厅关于做好2019年城乡居民基本医疗保险工作的通知》（内医保发〔2019〕6号）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3.《关于调整包头市城镇职工和城乡居民基本医疗保险待遇标准等政策的通知》（包府办发〔2018〕146号文件）</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4.《关于做好2020年度城乡居民基本医疗保险参保缴费工作的通知》</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办结时限：2019 年 10 月 15 日-2020 年 4 月 25 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27</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高校毕业生社会保险补贴认定受理条件、申报材料及申报流程</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《包头市高校毕业生社会保险补贴实施办法》（包人社办字〔2019〕102号）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28</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就业失业登记认定受理条件、申报材料及申报流程</w:t>
            </w:r>
            <w:r>
              <w:rPr>
                <w:rFonts w:hint="default" w:ascii="Times New Roman" w:hAnsi="Times New Roman" w:eastAsia="仿宋" w:cs="Times New Roman"/>
                <w:color w:val="000000"/>
                <w:kern w:val="0"/>
                <w:sz w:val="18"/>
                <w:szCs w:val="18"/>
                <w:lang w:val="en-US" w:eastAsia="zh-CN"/>
              </w:rPr>
              <w:t xml:space="preserve">   </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1《中华人民共和国就业促进法》第三十五条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2.《就业服务与就业管理规定》（中华人民共和国劳动和社会保障部令第28号，2014年、2015年分别修订）第二十五条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3.《关于进一步加强公共就业服务体系建设的指导意见》（人社部发〔2009〕116号）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4.《关于印发就业失业登记证管理暂行办法的通知》（人社部发〔2010〕75号）    </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5.《关于进一步完善公共就业服务体系有关问题的通知》（人社部发〔2012〕103号）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6.《关于进一步完善就业失业登记管理办法的通知》（人社部发〔2014〕97号）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29</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both"/>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《就业创业证》申领的受理条件、申报材料及申报流程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1.《就业服务与就业管理规定》（中华人民共和国劳动和社会保障部令第28号，2014年、2015年分别修订）第六十一条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2.《关于印发就业失业登记证管理暂行办法的通知》（人社部发〔2010〕75号）第一条、第二条、第三条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3.《关于进一步完善就业失业登记管理办法的通知》（人社部发〔2014〕97号）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4.国务院《关于进一步做好新形势下就业创业工作的意见》（国发﹝2015﹞23号）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5.人力资源社会保障部《关于修改&lt;就业服务与就业管理规定&gt;的决定》（人力资源社会保障部令第23号）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30</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市政服务</w:t>
            </w: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center"/>
              <w:rPr>
                <w:rFonts w:hint="default" w:ascii="Times New Roman" w:hAnsi="Times New Roman" w:eastAsia="仿宋" w:cs="Times New Roman"/>
                <w:color w:val="000000"/>
                <w:kern w:val="0"/>
                <w:sz w:val="18"/>
                <w:szCs w:val="18"/>
              </w:rPr>
            </w:pPr>
          </w:p>
          <w:p>
            <w:pPr>
              <w:widowControl/>
              <w:spacing w:line="240" w:lineRule="exact"/>
              <w:jc w:val="both"/>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both"/>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婚育情况证明受理条件、申报材料及申报流程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1.包头市家庭人口数报整合统计分析系统：《内蒙古自治区卫生计生委关于做好全面两孩政策实施后计划生育奖励扶助政策调整衔接的通知》（内卫计规范〔2016〕3号）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2.中华人民共和国国务院令（第555号）、《流动人口计划生育工作条例》第七条 </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相关证件资料齐全审核通过后，1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31</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一孩、二孩生育服务登记受理条件、申报材料及申报流程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1.《中共中央国务院关于实施全面两孩政策改革完善计划生育服务管理的决定》（中发〔2015〕40号）；《中华人民共和国人口与计划生育法》；</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2.《内蒙古自治区人口与计划生育条例》第八条</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3.《包头市实行一孩服务登记制度的通知》（包人口计生发〔2013〕46号）</w:t>
            </w:r>
          </w:p>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4.《包头市关于实施生育登记服务制度有关事宜的通知》（包人口计生发〔2017〕96号）</w:t>
            </w:r>
          </w:p>
        </w:tc>
        <w:tc>
          <w:tcPr>
            <w:tcW w:w="1020" w:type="dxa"/>
            <w:vAlign w:val="center"/>
          </w:tcPr>
          <w:p>
            <w:pPr>
              <w:widowControl/>
              <w:spacing w:line="240" w:lineRule="exac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相关证件资料齐全审核通过后，3 个工作日内办理。</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rPr>
                <w:rFonts w:hint="default" w:ascii="Times New Roman" w:hAnsi="Times New Roman" w:eastAsia="仿宋" w:cs="Times New Roman"/>
                <w:bCs/>
                <w:sz w:val="18"/>
                <w:szCs w:val="18"/>
              </w:rPr>
            </w:pPr>
          </w:p>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p>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32</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党组织关系转接受理条件、申报材料及申报流程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中共中央组织部关于印发《关于进一步加强党员组织关系管理的意见》的通知　2004年11月1日·中组发〔2004〕10号</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介绍信和存根上注明有效期，有效期可根据具体情况确定，一般不应超过 3 个月。</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33</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退役军人信息采集、社保续接受理条件、申报材料及申报流程</w:t>
            </w:r>
          </w:p>
        </w:tc>
        <w:tc>
          <w:tcPr>
            <w:tcW w:w="5796" w:type="dxa"/>
            <w:vAlign w:val="center"/>
          </w:tcPr>
          <w:p>
            <w:pPr>
              <w:widowControl/>
              <w:spacing w:line="240" w:lineRule="exact"/>
              <w:jc w:val="left"/>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 xml:space="preserve"> 《关于解决部分退役士兵社会保险问题的意见》</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20个工作日</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left"/>
              <w:rPr>
                <w:rFonts w:hint="default" w:ascii="Times New Roman" w:hAnsi="Times New Roman" w:eastAsia="仿宋" w:cs="Times New Roman"/>
                <w:color w:val="000000"/>
                <w:sz w:val="18"/>
                <w:szCs w:val="18"/>
              </w:rPr>
            </w:pPr>
            <w:r>
              <w:rPr>
                <w:rFonts w:hint="default" w:ascii="Times New Roman" w:hAnsi="Times New Roman" w:eastAsia="仿宋" w:cs="Times New Roman"/>
                <w:color w:val="000000"/>
                <w:sz w:val="18"/>
                <w:szCs w:val="18"/>
                <w:lang w:eastAsia="zh-CN"/>
              </w:rPr>
              <w:t>镇</w:t>
            </w:r>
            <w:r>
              <w:rPr>
                <w:rFonts w:hint="default" w:ascii="Times New Roman" w:hAnsi="Times New Roman" w:eastAsia="仿宋" w:cs="Times New Roman"/>
                <w:color w:val="000000"/>
                <w:sz w:val="18"/>
                <w:szCs w:val="18"/>
              </w:rPr>
              <w:t>公示栏</w:t>
            </w:r>
            <w:r>
              <w:rPr>
                <w:rFonts w:hint="default" w:ascii="Times New Roman" w:hAnsi="Times New Roman" w:eastAsia="仿宋" w:cs="Times New Roman"/>
                <w:color w:val="00000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bCs/>
                <w:sz w:val="18"/>
                <w:szCs w:val="18"/>
              </w:rPr>
            </w:pPr>
            <w:r>
              <w:rPr>
                <w:rFonts w:hint="default" w:ascii="Times New Roman" w:hAnsi="Times New Roman" w:eastAsia="仿宋" w:cs="Times New Roman"/>
                <w:bCs/>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34</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p>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扶贫领域</w:t>
            </w:r>
          </w:p>
          <w:p>
            <w:pPr>
              <w:widowControl/>
              <w:spacing w:line="240" w:lineRule="exact"/>
              <w:jc w:val="center"/>
              <w:rPr>
                <w:rFonts w:hint="default" w:ascii="Times New Roman" w:hAnsi="Times New Roman" w:eastAsia="仿宋" w:cs="Times New Roman"/>
                <w:color w:val="000000"/>
                <w:kern w:val="0"/>
                <w:sz w:val="18"/>
                <w:szCs w:val="18"/>
                <w:lang w:eastAsia="zh-CN"/>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中央及地方政府涉及扶贫领域的行政法规</w:t>
            </w:r>
            <w:r>
              <w:rPr>
                <w:rFonts w:hint="default" w:ascii="Times New Roman" w:hAnsi="Times New Roman" w:eastAsia="仿宋" w:cs="Times New Roman"/>
                <w:color w:val="000000"/>
                <w:kern w:val="0"/>
                <w:sz w:val="18"/>
                <w:szCs w:val="18"/>
              </w:rPr>
              <w:br w:type="textWrapping"/>
            </w:r>
            <w:r>
              <w:rPr>
                <w:rFonts w:hint="default" w:ascii="Times New Roman" w:hAnsi="Times New Roman" w:eastAsia="仿宋" w:cs="Times New Roman"/>
                <w:color w:val="000000"/>
                <w:kern w:val="0"/>
                <w:sz w:val="18"/>
                <w:szCs w:val="18"/>
              </w:rPr>
              <w:t>中央及地方政府涉及扶贫领域的规章</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35</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各级政府及部门涉及扶贫领域的规范性文件</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36</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涉及扶贫领域其他政策文件</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《政府信息公开条例》</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40"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37</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资金名称</w:t>
            </w:r>
            <w:r>
              <w:rPr>
                <w:rFonts w:hint="default" w:ascii="Times New Roman" w:hAnsi="Times New Roman" w:eastAsia="仿宋" w:cs="Times New Roman"/>
                <w:color w:val="000000"/>
                <w:kern w:val="0"/>
                <w:sz w:val="18"/>
                <w:szCs w:val="18"/>
              </w:rPr>
              <w:br w:type="textWrapping"/>
            </w:r>
            <w:r>
              <w:rPr>
                <w:rFonts w:hint="default" w:ascii="Times New Roman" w:hAnsi="Times New Roman" w:eastAsia="仿宋" w:cs="Times New Roman"/>
                <w:color w:val="000000"/>
                <w:kern w:val="0"/>
                <w:sz w:val="18"/>
                <w:szCs w:val="18"/>
              </w:rPr>
              <w:t>分配结果</w:t>
            </w:r>
          </w:p>
        </w:tc>
        <w:tc>
          <w:tcPr>
            <w:tcW w:w="5796"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《国务院扶贫办、财政部关于完善扶贫资金项目公告公示制度的指导意见》</w:t>
            </w:r>
          </w:p>
        </w:tc>
        <w:tc>
          <w:tcPr>
            <w:tcW w:w="1020"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资金分配结果下达15个工作日内</w:t>
            </w:r>
          </w:p>
        </w:tc>
        <w:tc>
          <w:tcPr>
            <w:tcW w:w="1260"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tcBorders>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540"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38</w:t>
            </w:r>
          </w:p>
        </w:tc>
        <w:tc>
          <w:tcPr>
            <w:tcW w:w="633" w:type="dxa"/>
            <w:vMerge w:val="continue"/>
            <w:tcBorders>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p>
        </w:tc>
        <w:tc>
          <w:tcPr>
            <w:tcW w:w="2052"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年度县级扶贫资金项目计划安排情况（资金计划批复文件）计划完成情况（项目建设完成、资金使用、绩效目标和减贫机制实现情况等）</w:t>
            </w:r>
          </w:p>
        </w:tc>
        <w:tc>
          <w:tcPr>
            <w:tcW w:w="5796"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《国务院扶贫办、财政部关于完善扶贫资金项目公告公示制度的指导意见》</w:t>
            </w:r>
          </w:p>
        </w:tc>
        <w:tc>
          <w:tcPr>
            <w:tcW w:w="1020"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tcBorders>
              <w:top w:val="single" w:color="auto" w:sz="4" w:space="0"/>
              <w:bottom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tcBorders>
              <w:top w:val="single" w:color="auto" w:sz="4" w:space="0"/>
              <w:bottom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54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39</w:t>
            </w:r>
          </w:p>
        </w:tc>
        <w:tc>
          <w:tcPr>
            <w:tcW w:w="633" w:type="dxa"/>
            <w:vMerge w:val="restart"/>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扶贫领域</w:t>
            </w:r>
          </w:p>
        </w:tc>
        <w:tc>
          <w:tcPr>
            <w:tcW w:w="2052"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项目名称、实施地点、资金规模、实施单位、带贫减贫机制、绩效目标</w:t>
            </w:r>
          </w:p>
        </w:tc>
        <w:tc>
          <w:tcPr>
            <w:tcW w:w="5796"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《国务院扶贫办、财政部关于完善扶贫资金项目公告公示制度的指导意见》</w:t>
            </w:r>
          </w:p>
        </w:tc>
        <w:tc>
          <w:tcPr>
            <w:tcW w:w="102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54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40</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申报内容（含项目名称、项目类别、建设性质、实施地点、资金规模和筹资方式、受益对象、绩效目标、群众参与和带贫减贫机制等）</w:t>
            </w:r>
            <w:r>
              <w:rPr>
                <w:rFonts w:hint="default" w:ascii="Times New Roman" w:hAnsi="Times New Roman" w:eastAsia="仿宋" w:cs="Times New Roman"/>
                <w:color w:val="000000"/>
                <w:kern w:val="0"/>
                <w:sz w:val="18"/>
                <w:szCs w:val="18"/>
              </w:rPr>
              <w:br w:type="textWrapping"/>
            </w:r>
            <w:r>
              <w:rPr>
                <w:rFonts w:hint="default" w:ascii="Times New Roman" w:hAnsi="Times New Roman" w:eastAsia="仿宋" w:cs="Times New Roman"/>
                <w:color w:val="000000"/>
                <w:kern w:val="0"/>
                <w:sz w:val="18"/>
                <w:szCs w:val="18"/>
              </w:rPr>
              <w:t>申报流程（村申报、乡审核、县审定）</w:t>
            </w:r>
            <w:r>
              <w:rPr>
                <w:rFonts w:hint="default" w:ascii="Times New Roman" w:hAnsi="Times New Roman" w:eastAsia="仿宋" w:cs="Times New Roman"/>
                <w:color w:val="000000"/>
                <w:kern w:val="0"/>
                <w:sz w:val="18"/>
                <w:szCs w:val="18"/>
              </w:rPr>
              <w:br w:type="textWrapping"/>
            </w:r>
            <w:r>
              <w:rPr>
                <w:rFonts w:hint="default" w:ascii="Times New Roman" w:hAnsi="Times New Roman" w:eastAsia="仿宋" w:cs="Times New Roman"/>
                <w:color w:val="000000"/>
                <w:kern w:val="0"/>
                <w:sz w:val="18"/>
                <w:szCs w:val="18"/>
              </w:rPr>
              <w:t>申报结果（项目库规模、项目名单）</w:t>
            </w:r>
          </w:p>
        </w:tc>
        <w:tc>
          <w:tcPr>
            <w:tcW w:w="5796"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《国务院扶贫办、财政部关于完善扶贫资金项目公告公示制度的指导意见》《国务院扶贫办关于完善县级脱贫攻坚项目库建设的指导意见》</w:t>
            </w:r>
          </w:p>
        </w:tc>
        <w:tc>
          <w:tcPr>
            <w:tcW w:w="102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tcBorders>
              <w:top w:val="single" w:color="auto" w:sz="4" w:space="0"/>
            </w:tcBorders>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tcBorders>
              <w:top w:val="single" w:color="auto" w:sz="4" w:space="0"/>
            </w:tcBorders>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41</w:t>
            </w:r>
          </w:p>
        </w:tc>
        <w:tc>
          <w:tcPr>
            <w:tcW w:w="633" w:type="dxa"/>
            <w:vMerge w:val="restart"/>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扶贫领域</w:t>
            </w:r>
          </w:p>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项目名称、实施地点、建设任务、补助标准、资金来源及规模、实施期限、实施单位、责任人、绩效目标、带贫减贫机制等</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《国务院扶贫办、财政部关于完善扶贫资金项目公告公示制度的指导意见》</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42</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2052" w:type="dxa"/>
            <w:vAlign w:val="center"/>
          </w:tcPr>
          <w:p>
            <w:pPr>
              <w:widowControl/>
              <w:spacing w:line="240" w:lineRule="exact"/>
              <w:jc w:val="both"/>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扶贫项目实施前情况（包括项目名称、资金来源、实施期限、绩效目标、实施单位及责任人、受益对象和带贫减贫机制等）</w:t>
            </w:r>
            <w:r>
              <w:rPr>
                <w:rFonts w:hint="default" w:ascii="Times New Roman" w:hAnsi="Times New Roman" w:eastAsia="仿宋" w:cs="Times New Roman"/>
                <w:color w:val="000000"/>
                <w:kern w:val="0"/>
                <w:sz w:val="18"/>
                <w:szCs w:val="18"/>
              </w:rPr>
              <w:br w:type="textWrapping"/>
            </w:r>
            <w:r>
              <w:rPr>
                <w:rFonts w:hint="default" w:ascii="Times New Roman" w:hAnsi="Times New Roman" w:eastAsia="仿宋" w:cs="Times New Roman"/>
                <w:color w:val="000000"/>
                <w:kern w:val="0"/>
                <w:sz w:val="18"/>
                <w:szCs w:val="18"/>
              </w:rPr>
              <w:t>扶贫项目实施后情况（包括资金使用、项目实施结果、检查验收结果、绩效目标实现情况等）</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《国务院扶贫办、财政部关于完善扶贫资金项目公告公示制度的指导意见》</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eastAsia" w:ascii="Times New Roman" w:hAnsi="Times New Roman" w:eastAsia="仿宋" w:cs="Times New Roman"/>
                <w:color w:val="000000"/>
                <w:kern w:val="0"/>
                <w:sz w:val="18"/>
                <w:szCs w:val="18"/>
                <w:lang w:val="en-US" w:eastAsia="zh-CN"/>
              </w:rPr>
              <w:t>43</w:t>
            </w:r>
          </w:p>
        </w:tc>
        <w:tc>
          <w:tcPr>
            <w:tcW w:w="633" w:type="dxa"/>
            <w:vMerge w:val="continue"/>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rPr>
            </w:pPr>
          </w:p>
        </w:tc>
        <w:tc>
          <w:tcPr>
            <w:tcW w:w="2052"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监督电话（12317）</w:t>
            </w:r>
          </w:p>
        </w:tc>
        <w:tc>
          <w:tcPr>
            <w:tcW w:w="5796"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《国务院扶贫办、财政部关于完善扶贫资金项目公告公示制度的指导意见》</w:t>
            </w:r>
          </w:p>
        </w:tc>
        <w:tc>
          <w:tcPr>
            <w:tcW w:w="102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信息形成（变更）20个工作日内</w:t>
            </w:r>
          </w:p>
        </w:tc>
        <w:tc>
          <w:tcPr>
            <w:tcW w:w="1260"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包头市东河区</w:t>
            </w:r>
            <w:r>
              <w:rPr>
                <w:rFonts w:hint="eastAsia" w:ascii="Times New Roman" w:hAnsi="Times New Roman" w:eastAsia="仿宋" w:cs="Times New Roman"/>
                <w:color w:val="000000"/>
                <w:kern w:val="0"/>
                <w:sz w:val="18"/>
                <w:szCs w:val="18"/>
                <w:lang w:val="en-US" w:eastAsia="zh-CN"/>
              </w:rPr>
              <w:t>沙尔沁</w:t>
            </w:r>
            <w:r>
              <w:rPr>
                <w:rFonts w:hint="default" w:ascii="Times New Roman" w:hAnsi="Times New Roman" w:eastAsia="仿宋" w:cs="Times New Roman"/>
                <w:color w:val="000000"/>
                <w:kern w:val="0"/>
                <w:sz w:val="18"/>
                <w:szCs w:val="18"/>
                <w:lang w:eastAsia="zh-CN"/>
              </w:rPr>
              <w:t>镇</w:t>
            </w:r>
          </w:p>
        </w:tc>
        <w:tc>
          <w:tcPr>
            <w:tcW w:w="888" w:type="dxa"/>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lang w:eastAsia="zh-CN"/>
              </w:rPr>
              <w:t>镇</w:t>
            </w:r>
            <w:r>
              <w:rPr>
                <w:rFonts w:hint="default" w:ascii="Times New Roman" w:hAnsi="Times New Roman" w:eastAsia="仿宋" w:cs="Times New Roman"/>
                <w:color w:val="000000"/>
                <w:kern w:val="0"/>
                <w:sz w:val="18"/>
                <w:szCs w:val="18"/>
              </w:rPr>
              <w:t>公示栏</w:t>
            </w:r>
            <w:r>
              <w:rPr>
                <w:rFonts w:hint="default" w:ascii="Times New Roman" w:hAnsi="Times New Roman" w:eastAsia="仿宋" w:cs="Times New Roman"/>
                <w:color w:val="000000"/>
                <w:kern w:val="0"/>
                <w:sz w:val="18"/>
                <w:szCs w:val="18"/>
                <w:lang w:eastAsia="zh-CN"/>
              </w:rPr>
              <w:t>及各村社区公告栏</w:t>
            </w:r>
          </w:p>
        </w:tc>
        <w:tc>
          <w:tcPr>
            <w:tcW w:w="52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696"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c>
          <w:tcPr>
            <w:tcW w:w="840"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r>
              <w:rPr>
                <w:rFonts w:hint="default" w:ascii="Times New Roman" w:hAnsi="Times New Roman" w:eastAsia="仿宋" w:cs="Times New Roman"/>
                <w:color w:val="000000"/>
                <w:kern w:val="0"/>
                <w:sz w:val="18"/>
                <w:szCs w:val="18"/>
              </w:rPr>
              <w:t>√</w:t>
            </w:r>
          </w:p>
        </w:tc>
        <w:tc>
          <w:tcPr>
            <w:tcW w:w="798" w:type="dxa"/>
            <w:shd w:val="clear" w:color="auto" w:fill="auto"/>
            <w:vAlign w:val="center"/>
          </w:tcPr>
          <w:p>
            <w:pPr>
              <w:widowControl/>
              <w:spacing w:line="240" w:lineRule="exact"/>
              <w:jc w:val="center"/>
              <w:rPr>
                <w:rFonts w:hint="default" w:ascii="Times New Roman" w:hAnsi="Times New Roman" w:eastAsia="仿宋" w:cs="Times New Roman"/>
                <w:color w:val="000000"/>
                <w:kern w:val="0"/>
                <w:sz w:val="18"/>
                <w:szCs w:val="18"/>
                <w:lang w:val="en-US" w:eastAsia="zh-CN"/>
              </w:rPr>
            </w:pPr>
          </w:p>
        </w:tc>
      </w:tr>
    </w:tbl>
    <w:p>
      <w:pPr>
        <w:widowControl/>
        <w:spacing w:line="240" w:lineRule="exact"/>
        <w:jc w:val="center"/>
        <w:rPr>
          <w:rFonts w:hint="default" w:ascii="Times New Roman" w:hAnsi="Times New Roman" w:eastAsia="仿宋" w:cs="Times New Roman"/>
          <w:color w:val="000000"/>
          <w:kern w:val="0"/>
          <w:sz w:val="18"/>
          <w:szCs w:val="18"/>
        </w:rPr>
      </w:pPr>
      <w:bookmarkStart w:id="0" w:name="_GoBack"/>
      <w:bookmarkEnd w:id="0"/>
    </w:p>
    <w:sectPr>
      <w:pgSz w:w="16783" w:h="11850" w:orient="landscape"/>
      <w:pgMar w:top="1800" w:right="113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CE5BE"/>
    <w:multiLevelType w:val="singleLevel"/>
    <w:tmpl w:val="6ECCE5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A4697"/>
    <w:rsid w:val="004A5159"/>
    <w:rsid w:val="005D0615"/>
    <w:rsid w:val="008A09E0"/>
    <w:rsid w:val="00E96764"/>
    <w:rsid w:val="01255924"/>
    <w:rsid w:val="0DCA2310"/>
    <w:rsid w:val="0EF8778C"/>
    <w:rsid w:val="1BD27BBD"/>
    <w:rsid w:val="200471C0"/>
    <w:rsid w:val="22456A83"/>
    <w:rsid w:val="246E5148"/>
    <w:rsid w:val="2A7952DA"/>
    <w:rsid w:val="2AA92647"/>
    <w:rsid w:val="2AEA7F64"/>
    <w:rsid w:val="30234289"/>
    <w:rsid w:val="37252A8C"/>
    <w:rsid w:val="45F4156A"/>
    <w:rsid w:val="481A1299"/>
    <w:rsid w:val="4BA06AAD"/>
    <w:rsid w:val="4BAC730E"/>
    <w:rsid w:val="590A4697"/>
    <w:rsid w:val="62096BC2"/>
    <w:rsid w:val="63EB4CCB"/>
    <w:rsid w:val="6C7A33C4"/>
    <w:rsid w:val="6EFE76CA"/>
    <w:rsid w:val="78EE5723"/>
    <w:rsid w:val="7D1A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1087</Words>
  <Characters>6198</Characters>
  <Lines>51</Lines>
  <Paragraphs>14</Paragraphs>
  <TotalTime>35</TotalTime>
  <ScaleCrop>false</ScaleCrop>
  <LinksUpToDate>false</LinksUpToDate>
  <CharactersWithSpaces>7271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2021-03-15T06:56:00Z</dcterms:created>
  <dc:creator>Administrator</dc:creator>
  <cp:lastModifiedBy>admin</cp:lastModifiedBy>
  <cp:lastPrinted>2021-04-13T03:43:00Z</cp:lastPrinted>
  <dcterms:modified xsi:type="dcterms:W3CDTF">2021-04-13T04:24:51Z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0_btnclosed</vt:lpwstr>
  </property>
  <property fmtid="{D5CDD505-2E9C-101B-9397-08002B2CF9AE}" pid="4" name="ICV">
    <vt:lpwstr>9B7ECDB025884A3EBEB365F4FBB8216C</vt:lpwstr>
  </property>
</Properties>
</file>