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6"/>
      <w:r>
        <w:rPr>
          <w:rFonts w:hint="eastAsia" w:ascii="方正小标宋_GBK" w:hAnsi="方正小标宋_GBK" w:eastAsia="方正小标宋_GBK"/>
          <w:b w:val="0"/>
          <w:bCs w:val="0"/>
          <w:sz w:val="30"/>
        </w:rPr>
        <w:t>（二十三）救灾生产领域基层政务公开标准目录</w:t>
      </w:r>
      <w:bookmarkEnd w:id="0"/>
    </w:p>
    <w:tbl>
      <w:tblPr>
        <w:tblStyle w:val="9"/>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kern w:val="0"/>
                <w:sz w:val="22"/>
              </w:rPr>
            </w:pP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■两微一端   ■公开查阅点 ■</w:t>
            </w:r>
            <w:r>
              <w:rPr>
                <w:rFonts w:hint="eastAsia" w:ascii="仿宋_GB2312" w:eastAsia="仿宋_GB2312"/>
                <w:sz w:val="18"/>
                <w:szCs w:val="18"/>
                <w:lang w:eastAsia="zh-CN"/>
              </w:rPr>
              <w:t>政务服务大厅</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■两微一端   ■公开查阅点 ■</w:t>
            </w:r>
            <w:r>
              <w:rPr>
                <w:rFonts w:hint="eastAsia" w:ascii="仿宋_GB2312" w:eastAsia="仿宋_GB2312"/>
                <w:sz w:val="18"/>
                <w:szCs w:val="18"/>
                <w:lang w:eastAsia="zh-CN"/>
              </w:rPr>
              <w:t>政务服务大厅</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bookmarkStart w:id="1" w:name="_GoBack"/>
            <w:bookmarkEnd w:id="1"/>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■两微一端   ■公开查阅点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■公开查阅点 ■</w:t>
            </w:r>
            <w:r>
              <w:rPr>
                <w:rFonts w:hint="eastAsia" w:ascii="仿宋_GB2312" w:eastAsia="仿宋_GB2312"/>
                <w:sz w:val="18"/>
                <w:szCs w:val="18"/>
                <w:lang w:eastAsia="zh-CN"/>
              </w:rPr>
              <w:t>政务服务大厅</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■便民服务站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3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lang w:eastAsia="zh-CN"/>
              </w:rPr>
              <w:t>包头市东河区应急管理局</w:t>
            </w:r>
            <w:r>
              <w:rPr>
                <w:rFonts w:hint="eastAsia" w:ascii="仿宋_GB2312" w:eastAsia="仿宋_GB2312"/>
                <w:sz w:val="18"/>
                <w:szCs w:val="18"/>
              </w:rPr>
              <w:t>审批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灾后</w:t>
            </w:r>
          </w:p>
          <w:p>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包头市东河区应急管理局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jc w:val="center"/>
        <w:rPr>
          <w:rFonts w:hint="eastAsia"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46120"/>
    <w:rsid w:val="00190068"/>
    <w:rsid w:val="00193DB9"/>
    <w:rsid w:val="001E6D63"/>
    <w:rsid w:val="002967AA"/>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1145B"/>
    <w:rsid w:val="00B1299C"/>
    <w:rsid w:val="00B56955"/>
    <w:rsid w:val="00C3715A"/>
    <w:rsid w:val="00D0207F"/>
    <w:rsid w:val="00D31D5E"/>
    <w:rsid w:val="00F07C25"/>
    <w:rsid w:val="00FA002F"/>
    <w:rsid w:val="21903F90"/>
    <w:rsid w:val="37DA587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iPriority w:val="0"/>
    <w:pPr>
      <w:jc w:val="left"/>
    </w:pPr>
  </w:style>
  <w:style w:type="paragraph" w:styleId="4">
    <w:name w:val="Balloon Text"/>
    <w:basedOn w:val="1"/>
    <w:link w:val="20"/>
    <w:semiHidden/>
    <w:uiPriority w:val="0"/>
    <w:rPr>
      <w:sz w:val="18"/>
      <w:szCs w:val="18"/>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styleId="13">
    <w:name w:val="FollowedHyperlink"/>
    <w:basedOn w:val="11"/>
    <w:semiHidden/>
    <w:unhideWhenUsed/>
    <w:uiPriority w:val="99"/>
    <w:rPr>
      <w:color w:val="954F72" w:themeColor="followedHyperlink"/>
      <w:u w:val="single"/>
      <w14:textFill>
        <w14:solidFill>
          <w14:schemeClr w14:val="folHlink"/>
        </w14:solidFill>
      </w14:textFill>
    </w:rPr>
  </w:style>
  <w:style w:type="character" w:styleId="14">
    <w:name w:val="Hyperlink"/>
    <w:uiPriority w:val="0"/>
    <w:rPr>
      <w:color w:val="0000FF"/>
      <w:u w:val="single"/>
    </w:rPr>
  </w:style>
  <w:style w:type="character" w:styleId="15">
    <w:name w:val="annotation reference"/>
    <w:semiHidden/>
    <w:uiPriority w:val="0"/>
    <w:rPr>
      <w:sz w:val="21"/>
      <w:szCs w:val="21"/>
    </w:rPr>
  </w:style>
  <w:style w:type="character" w:customStyle="1" w:styleId="16">
    <w:name w:val="标题 1 字符"/>
    <w:basedOn w:val="11"/>
    <w:link w:val="2"/>
    <w:uiPriority w:val="0"/>
    <w:rPr>
      <w:rFonts w:ascii="Calibri" w:hAnsi="Calibri" w:eastAsia="宋体" w:cs="Times New Roman"/>
      <w:b/>
      <w:bCs/>
      <w:kern w:val="44"/>
      <w:sz w:val="44"/>
      <w:szCs w:val="44"/>
    </w:rPr>
  </w:style>
  <w:style w:type="paragraph" w:customStyle="1" w:styleId="17">
    <w:name w:val="列出段落"/>
    <w:basedOn w:val="1"/>
    <w:qFormat/>
    <w:uiPriority w:val="0"/>
    <w:pPr>
      <w:ind w:firstLine="420" w:firstLineChars="200"/>
    </w:pPr>
    <w:rPr>
      <w:rFonts w:ascii="等线" w:hAnsi="等线" w:eastAsia="等线"/>
    </w:rPr>
  </w:style>
  <w:style w:type="character" w:customStyle="1" w:styleId="18">
    <w:name w:val="批注文字 字符"/>
    <w:basedOn w:val="11"/>
    <w:link w:val="3"/>
    <w:semiHidden/>
    <w:uiPriority w:val="0"/>
    <w:rPr>
      <w:rFonts w:ascii="Calibri" w:hAnsi="Calibri" w:eastAsia="宋体" w:cs="Times New Roman"/>
    </w:rPr>
  </w:style>
  <w:style w:type="character" w:customStyle="1" w:styleId="19">
    <w:name w:val="批注主题 字符"/>
    <w:basedOn w:val="18"/>
    <w:link w:val="8"/>
    <w:semiHidden/>
    <w:qFormat/>
    <w:uiPriority w:val="0"/>
    <w:rPr>
      <w:rFonts w:ascii="Calibri" w:hAnsi="Calibri" w:eastAsia="宋体" w:cs="Times New Roman"/>
      <w:b/>
      <w:bCs/>
    </w:rPr>
  </w:style>
  <w:style w:type="character" w:customStyle="1" w:styleId="20">
    <w:name w:val="批注框文本 字符"/>
    <w:basedOn w:val="11"/>
    <w:link w:val="4"/>
    <w:semiHidden/>
    <w:qFormat/>
    <w:uiPriority w:val="0"/>
    <w:rPr>
      <w:rFonts w:ascii="Calibri" w:hAnsi="Calibri" w:eastAsia="宋体" w:cs="Times New Roman"/>
      <w:sz w:val="18"/>
      <w:szCs w:val="18"/>
    </w:rPr>
  </w:style>
  <w:style w:type="paragraph" w:customStyle="1" w:styleId="21">
    <w:name w:val="列出段落1"/>
    <w:basedOn w:val="1"/>
    <w:qFormat/>
    <w:uiPriority w:val="0"/>
    <w:pPr>
      <w:ind w:firstLine="420" w:firstLineChars="200"/>
    </w:pPr>
  </w:style>
  <w:style w:type="character" w:customStyle="1" w:styleId="22">
    <w:name w:val="页眉 字符"/>
    <w:basedOn w:val="11"/>
    <w:link w:val="6"/>
    <w:uiPriority w:val="0"/>
    <w:rPr>
      <w:rFonts w:ascii="Calibri" w:hAnsi="Calibri" w:eastAsia="宋体" w:cs="Times New Roman"/>
      <w:sz w:val="18"/>
      <w:szCs w:val="18"/>
    </w:rPr>
  </w:style>
  <w:style w:type="character" w:customStyle="1" w:styleId="23">
    <w:name w:val="页脚 字符"/>
    <w:basedOn w:val="11"/>
    <w:link w:val="5"/>
    <w:qFormat/>
    <w:uiPriority w:val="0"/>
    <w:rPr>
      <w:rFonts w:ascii="Calibri" w:hAnsi="Calibri" w:eastAsia="宋体" w:cs="Times New Roman"/>
      <w:sz w:val="18"/>
      <w:szCs w:val="18"/>
    </w:rPr>
  </w:style>
  <w:style w:type="character" w:customStyle="1" w:styleId="24">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D997B-B1B6-41DF-AF66-F6A9E9763A66}">
  <ds:schemaRefs/>
</ds:datastoreItem>
</file>

<file path=docProps/app.xml><?xml version="1.0" encoding="utf-8"?>
<Properties xmlns="http://schemas.openxmlformats.org/officeDocument/2006/extended-properties" xmlns:vt="http://schemas.openxmlformats.org/officeDocument/2006/docPropsVTypes">
  <Template>Normal.dotm</Template>
  <Pages>4</Pages>
  <Words>410</Words>
  <Characters>2339</Characters>
  <Lines>19</Lines>
  <Paragraphs>5</Paragraphs>
  <TotalTime>1</TotalTime>
  <ScaleCrop>false</ScaleCrop>
  <LinksUpToDate>false</LinksUpToDate>
  <CharactersWithSpaces>2744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2020-03-06T07:49:00Z</dcterms:created>
  <dc:creator>tai yuzhu</dc:creator>
  <cp:lastModifiedBy>东河区政务服务局</cp:lastModifiedBy>
  <dcterms:modified xsi:type="dcterms:W3CDTF">2020-09-17T01:22:52Z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