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（十三）生态环境领域基层政务公开标准目录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520"/>
        <w:gridCol w:w="2700"/>
        <w:gridCol w:w="1620"/>
        <w:gridCol w:w="720"/>
        <w:gridCol w:w="16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建设项目环境影响评价文件审批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受理环节：受理情况公示、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报告书（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全本；拟决定环节：拟审查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环评文件基本情况公示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；决定环节：环评批复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《环境影响评价法》、《海洋环境保护法》、《放射性污染防治法》、《政府信息公开条例》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防治污染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设施拆除或闲置审批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企业或单位关闭、闲置、拆除工业固体废物污染环境防治设施、场所的核准结果；企业或单位拆除、闲置环境噪声污染防治设施的审批结果；企业或单位拆除闲置海洋工程环境保护设施的审批结果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《固体废物污染环境防治法》、《环境噪声污染防治法》、《海洋环境保护法》、《政府信息公开条例》、《关于全面推进政务公开工作的意见》、《开展基层政务公开标准化规范化试点工作方案》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危险废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物经营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许可证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受理环节：受理通知书；拟决定环节：向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有关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和专家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征求意见、决定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前公示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等；决定环节：危险废物经营许可证信息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；送达环节：送达单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《固体废物污染环境防治法》、《政府信息公开条例》、《危险废物经营许可证管理办法》、《国务院关于取消和下放一批行政审批项目的决定》、《关于做好下放危险废物经营许可审批工作的通知》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行政处罚流程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行政处罚事先告知书；行政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处罚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听证通知书；处罚执行情况：同意分期（延期）缴纳罚款通知书、督促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履行义务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催告书、强制执行申请书等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行政处罚决定书（全文公开）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行政强制流程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、扣押清单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；查封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延期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通知书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；解除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查封（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行政强制决定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决定书（全文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责令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改正违法行为决定书（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行政奖励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奖励办法、奖励公告、奖励决定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行政确认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运行环节：受理、确认、送达、事后监管；责任事项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行政裁决和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行政调解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运行环节：受理、审理、裁决或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调解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、执行；责任事项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《环境保护法》、《水污染防治法》、《海洋环境保护法》、《噪声污染防治法》、《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土壤污染防治法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》、《固体废物污染环境防治法》、《政府信息公开条例》、《关于全面推进政务公开工作的意见》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行政给付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运行环节：受理、审查、决定、给付、事后监管；责任事项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重大建设项目环境管理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重大建设项目生态环境行政许可情况；重大建设项目落实生态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环境要求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情况；重大建设项目生态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生态环境保护督察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按要求公开生态环境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保护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生态乡镇、生态村、生态示范户创建情况；生态文明建设示范区和“绿水青山就是金山银山”实践创新基地创建情况；农村环境综合整治情况；各类自然保护地生态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监管执法信息；生物多样性保护、生物物种资源保护相关信息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《环境保护法》、《突发事件应对法》、《政府信息公开条例》、《企业事业单位突发环境事件应急预案备案管理办法（试行）》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生态环境保护政策与业务咨询答复函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生态环境主题活动组织情况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污染源监督监测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监督性监测信息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污染源信息发布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重点排污单位基本情况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总量控制、污染防治等信息，重点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排污单位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环境信息公开情况监管信息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生态环境举报信访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生态环境质量信息发布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水环境质量信息（地表水监测结果和集中式生活饮用水水源水质状况报告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《环境保护法》、《政府信息公开条例》、《国务院关于印发水污染防治行动计划的通知》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生态环境统计报告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本行政机关的政府信息公开工作年度报告、环境统计年度报告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自该信息形成或者变更之日起20个工作日内;政府信息公开工作年度报告按照《政府信息公开条例》要求的时限公开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包头市生态环境局东河区分局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黑体" w:hAnsi="黑体" w:eastAsia="黑体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46120"/>
    <w:rsid w:val="00190068"/>
    <w:rsid w:val="00193DB9"/>
    <w:rsid w:val="001E6D63"/>
    <w:rsid w:val="002967AA"/>
    <w:rsid w:val="002C4DCA"/>
    <w:rsid w:val="002E0878"/>
    <w:rsid w:val="003B2C77"/>
    <w:rsid w:val="004077CB"/>
    <w:rsid w:val="00416393"/>
    <w:rsid w:val="00612901"/>
    <w:rsid w:val="008438B0"/>
    <w:rsid w:val="00902A01"/>
    <w:rsid w:val="00A41EEC"/>
    <w:rsid w:val="00C3715A"/>
    <w:rsid w:val="00FA002F"/>
    <w:rsid w:val="3F9D44F8"/>
    <w:rsid w:val="4183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semiHidden/>
    <w:uiPriority w:val="0"/>
    <w:rPr>
      <w:sz w:val="18"/>
      <w:szCs w:val="18"/>
    </w:rPr>
  </w:style>
  <w:style w:type="paragraph" w:styleId="5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annotation reference"/>
    <w:semiHidden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E49998-C944-491F-9EEA-2F7271A6CF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618</Words>
  <Characters>3525</Characters>
  <Lines>29</Lines>
  <Paragraphs>8</Paragraphs>
  <TotalTime>2</TotalTime>
  <ScaleCrop>false</ScaleCrop>
  <LinksUpToDate>false</LinksUpToDate>
  <CharactersWithSpaces>4135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2020-03-06T07:03:00Z</dcterms:created>
  <dc:creator>tai yuzhu</dc:creator>
  <cp:lastModifiedBy>东河区政务服务局</cp:lastModifiedBy>
  <dcterms:modified xsi:type="dcterms:W3CDTF">2020-09-17T01:30:27Z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