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531"/>
        <w:gridCol w:w="2329"/>
        <w:gridCol w:w="1620"/>
        <w:gridCol w:w="1351"/>
        <w:gridCol w:w="1709"/>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31"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29"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351"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709"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黑体" w:hAnsi="Times New Roman" w:eastAsia="黑体"/>
                <w:color w:val="000000"/>
                <w:kern w:val="0"/>
                <w:sz w:val="22"/>
              </w:rPr>
            </w:pP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31" w:type="dxa"/>
            <w:vMerge w:val="continue"/>
            <w:vAlign w:val="center"/>
          </w:tcPr>
          <w:p>
            <w:pPr>
              <w:widowControl/>
              <w:jc w:val="left"/>
              <w:rPr>
                <w:rFonts w:hint="eastAsia" w:ascii="黑体" w:hAnsi="宋体" w:eastAsia="黑体" w:cs="宋体"/>
                <w:color w:val="000000"/>
                <w:kern w:val="0"/>
                <w:sz w:val="22"/>
              </w:rPr>
            </w:pPr>
          </w:p>
        </w:tc>
        <w:tc>
          <w:tcPr>
            <w:tcW w:w="2329" w:type="dxa"/>
            <w:vMerge w:val="continue"/>
            <w:vAlign w:val="center"/>
          </w:tcPr>
          <w:p>
            <w:pPr>
              <w:widowControl/>
              <w:jc w:val="left"/>
              <w:rPr>
                <w:rFonts w:hint="eastAsia" w:ascii="黑体" w:hAnsi="宋体" w:eastAsia="黑体" w:cs="宋体"/>
                <w:color w:val="000000"/>
                <w:kern w:val="0"/>
                <w:sz w:val="22"/>
              </w:rPr>
            </w:pPr>
          </w:p>
        </w:tc>
        <w:tc>
          <w:tcPr>
            <w:tcW w:w="1620" w:type="dxa"/>
            <w:vMerge w:val="continue"/>
            <w:vAlign w:val="center"/>
          </w:tcPr>
          <w:p>
            <w:pPr>
              <w:widowControl/>
              <w:jc w:val="left"/>
              <w:rPr>
                <w:rFonts w:hint="eastAsia" w:ascii="黑体" w:hAnsi="宋体" w:eastAsia="黑体" w:cs="宋体"/>
                <w:color w:val="000000"/>
                <w:kern w:val="0"/>
                <w:sz w:val="22"/>
              </w:rPr>
            </w:pPr>
          </w:p>
        </w:tc>
        <w:tc>
          <w:tcPr>
            <w:tcW w:w="1351" w:type="dxa"/>
            <w:vMerge w:val="continue"/>
            <w:vAlign w:val="center"/>
          </w:tcPr>
          <w:p>
            <w:pPr>
              <w:widowControl/>
              <w:jc w:val="left"/>
              <w:rPr>
                <w:rFonts w:hint="eastAsia" w:ascii="黑体" w:hAnsi="宋体" w:eastAsia="黑体" w:cs="宋体"/>
                <w:color w:val="000000"/>
                <w:kern w:val="0"/>
                <w:sz w:val="22"/>
              </w:rPr>
            </w:pPr>
          </w:p>
        </w:tc>
        <w:tc>
          <w:tcPr>
            <w:tcW w:w="1709" w:type="dxa"/>
            <w:vMerge w:val="continue"/>
            <w:vAlign w:val="center"/>
          </w:tcPr>
          <w:p>
            <w:pPr>
              <w:widowControl/>
              <w:jc w:val="left"/>
              <w:rPr>
                <w:rFonts w:hint="eastAsia" w:ascii="黑体" w:hAnsi="宋体" w:eastAsia="黑体" w:cs="宋体"/>
                <w:kern w:val="0"/>
                <w:sz w:val="22"/>
              </w:rPr>
            </w:pP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bookmarkStart w:id="1" w:name="_GoBack" w:colFirst="6" w:colLast="6"/>
          </w:p>
        </w:tc>
        <w:tc>
          <w:tcPr>
            <w:tcW w:w="540" w:type="dxa"/>
            <w:vMerge w:val="continue"/>
            <w:vAlign w:val="center"/>
          </w:tcPr>
          <w:p>
            <w:pPr>
              <w:rPr>
                <w:rFonts w:hint="eastAsia"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29"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jc w:val="center"/>
              <w:rPr>
                <w:rFonts w:hint="eastAsia"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329"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329"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329"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329"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shd w:val="clear" w:color="auto" w:fill="auto"/>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531" w:type="dxa"/>
            <w:shd w:val="clear" w:color="auto" w:fill="auto"/>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329" w:type="dxa"/>
            <w:vMerge w:val="restart"/>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329"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continue"/>
            <w:shd w:val="clear" w:color="auto" w:fill="auto"/>
            <w:noWrap/>
            <w:vAlign w:val="center"/>
          </w:tcPr>
          <w:p>
            <w:pPr>
              <w:jc w:val="center"/>
              <w:rPr>
                <w:rFonts w:hint="eastAsia" w:ascii="仿宋_GB2312" w:hAnsi="宋体" w:eastAsia="仿宋_GB2312" w:cs="宋体"/>
                <w:sz w:val="18"/>
                <w:szCs w:val="18"/>
              </w:rPr>
            </w:pPr>
          </w:p>
        </w:tc>
        <w:tc>
          <w:tcPr>
            <w:tcW w:w="900"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329" w:type="dxa"/>
            <w:vMerge w:val="restart"/>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329"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329"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shd w:val="clear" w:color="auto" w:fill="auto"/>
            <w:vAlign w:val="center"/>
          </w:tcPr>
          <w:p>
            <w:pPr>
              <w:jc w:val="center"/>
              <w:rPr>
                <w:rFonts w:hint="eastAsia" w:ascii="仿宋_GB2312" w:hAnsi="宋体" w:eastAsia="仿宋_GB2312"/>
                <w:sz w:val="18"/>
                <w:szCs w:val="18"/>
              </w:rPr>
            </w:pPr>
          </w:p>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00"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329"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329"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continue"/>
            <w:shd w:val="clear" w:color="auto" w:fill="auto"/>
            <w:vAlign w:val="center"/>
          </w:tcPr>
          <w:p>
            <w:pPr>
              <w:jc w:val="center"/>
              <w:rPr>
                <w:rFonts w:hint="eastAsia" w:ascii="仿宋_GB2312" w:hAnsi="宋体" w:eastAsia="仿宋_GB2312"/>
                <w:sz w:val="18"/>
                <w:szCs w:val="18"/>
              </w:rPr>
            </w:pPr>
          </w:p>
        </w:tc>
        <w:tc>
          <w:tcPr>
            <w:tcW w:w="900"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5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3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教师管理</w:t>
            </w:r>
          </w:p>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trPr>
        <w:tc>
          <w:tcPr>
            <w:tcW w:w="540" w:type="dxa"/>
            <w:vMerge w:val="restart"/>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329"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《教师法》、《政府信息公开条例》、《教师资格条例》及实施办法、《教育部关于印发〈教师资格证书管理规定〉的通知》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540" w:type="dxa"/>
            <w:vMerge w:val="continue"/>
            <w:vAlign w:val="center"/>
          </w:tcPr>
          <w:p>
            <w:pPr>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329"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2"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329"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329"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540" w:type="dxa"/>
            <w:vMerge w:val="restart"/>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trPr>
        <w:tc>
          <w:tcPr>
            <w:tcW w:w="540" w:type="dxa"/>
            <w:vMerge w:val="continue"/>
            <w:vAlign w:val="center"/>
          </w:tcPr>
          <w:p>
            <w:pPr>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《政府信息公开条例》、《关于做好乡村学校从教30年教师荣誉证书颁发工作的通知》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540" w:type="dxa"/>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pPr>
              <w:jc w:val="center"/>
              <w:rPr>
                <w:rFonts w:hint="eastAsia" w:ascii="仿宋_GB2312" w:hAnsi="宋体" w:eastAsia="仿宋_GB2312" w:cs="宋体"/>
                <w:color w:val="000000"/>
                <w:kern w:val="2"/>
                <w:sz w:val="18"/>
                <w:szCs w:val="18"/>
                <w:lang w:val="en-US" w:eastAsia="zh-CN" w:bidi="ar-SA"/>
              </w:rPr>
            </w:pPr>
          </w:p>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1"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trPr>
        <w:tc>
          <w:tcPr>
            <w:tcW w:w="540" w:type="dxa"/>
            <w:vAlign w:val="center"/>
          </w:tcPr>
          <w:p>
            <w:pPr>
              <w:numPr>
                <w:ilvl w:val="0"/>
                <w:numId w:val="1"/>
              </w:numPr>
              <w:ind w:left="425" w:leftChars="0" w:hanging="425" w:firstLineChars="0"/>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《政府信息公开条例》、《普通话水平测试管理规定》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2"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329"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8" w:hRule="atLeast"/>
        </w:trPr>
        <w:tc>
          <w:tcPr>
            <w:tcW w:w="540" w:type="dxa"/>
            <w:vMerge w:val="restart"/>
            <w:shd w:val="clear" w:color="auto" w:fill="auto"/>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p>
        </w:tc>
        <w:tc>
          <w:tcPr>
            <w:tcW w:w="5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90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329"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■纸质媒体           ■公开查阅点</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531"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329"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trPr>
        <w:tc>
          <w:tcPr>
            <w:tcW w:w="540" w:type="dxa"/>
            <w:vMerge w:val="continue"/>
            <w:vAlign w:val="center"/>
          </w:tcPr>
          <w:p>
            <w:pPr>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vMerge w:val="continue"/>
            <w:vAlign w:val="center"/>
          </w:tcPr>
          <w:p>
            <w:pPr>
              <w:rPr>
                <w:rFonts w:hint="eastAsia" w:ascii="仿宋_GB2312" w:hAnsi="宋体" w:eastAsia="仿宋_GB2312" w:cs="宋体"/>
                <w:color w:val="000000"/>
                <w:sz w:val="18"/>
                <w:szCs w:val="18"/>
              </w:rPr>
            </w:pP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329"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numPr>
                <w:ilvl w:val="0"/>
                <w:numId w:val="1"/>
              </w:numPr>
              <w:ind w:left="425" w:leftChars="0" w:hanging="425" w:firstLineChars="0"/>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rPr>
                <w:rFonts w:hint="eastAsia" w:ascii="仿宋_GB2312" w:hAnsi="宋体" w:eastAsia="仿宋_GB2312" w:cs="宋体"/>
                <w:sz w:val="18"/>
                <w:szCs w:val="18"/>
              </w:rPr>
            </w:pPr>
          </w:p>
        </w:tc>
        <w:tc>
          <w:tcPr>
            <w:tcW w:w="540" w:type="dxa"/>
            <w:vMerge w:val="continue"/>
            <w:vAlign w:val="center"/>
          </w:tcPr>
          <w:p>
            <w:pPr>
              <w:rPr>
                <w:rFonts w:hint="eastAsia" w:ascii="仿宋_GB2312" w:hAnsi="宋体" w:eastAsia="仿宋_GB2312" w:cs="宋体"/>
                <w:sz w:val="18"/>
                <w:szCs w:val="18"/>
              </w:rPr>
            </w:pP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rPr>
                <w:rFonts w:hint="eastAsia" w:ascii="仿宋_GB2312" w:hAnsi="宋体" w:eastAsia="仿宋_GB2312" w:cs="宋体"/>
                <w:color w:val="000000"/>
                <w:sz w:val="18"/>
                <w:szCs w:val="18"/>
              </w:rPr>
            </w:pPr>
          </w:p>
        </w:tc>
        <w:tc>
          <w:tcPr>
            <w:tcW w:w="540" w:type="dxa"/>
            <w:vMerge w:val="restart"/>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329"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ind w:left="425" w:leftChars="0" w:hanging="425" w:firstLineChars="0"/>
              <w:rPr>
                <w:rFonts w:hint="eastAsia" w:ascii="仿宋_GB2312" w:hAnsi="宋体" w:eastAsia="仿宋_GB2312" w:cs="宋体"/>
                <w:color w:val="000000"/>
                <w:sz w:val="18"/>
                <w:szCs w:val="18"/>
              </w:rPr>
            </w:pPr>
          </w:p>
        </w:tc>
        <w:tc>
          <w:tcPr>
            <w:tcW w:w="540" w:type="dxa"/>
            <w:vMerge w:val="continue"/>
            <w:vAlign w:val="center"/>
          </w:tcPr>
          <w:p>
            <w:pPr>
              <w:rPr>
                <w:rFonts w:hint="eastAsia" w:ascii="仿宋_GB2312" w:hAnsi="宋体" w:eastAsia="仿宋_GB2312" w:cs="宋体"/>
                <w:color w:val="000000"/>
                <w:sz w:val="18"/>
                <w:szCs w:val="18"/>
              </w:rPr>
            </w:pP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329"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numPr>
                <w:ilvl w:val="0"/>
                <w:numId w:val="1"/>
              </w:numPr>
              <w:ind w:left="425" w:leftChars="0" w:hanging="425" w:firstLineChars="0"/>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531"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329"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351"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包头市东河区教育局</w:t>
            </w:r>
          </w:p>
        </w:tc>
        <w:tc>
          <w:tcPr>
            <w:tcW w:w="1709"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bookmarkEnd w:id="1"/>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4B3B2"/>
    <w:multiLevelType w:val="singleLevel"/>
    <w:tmpl w:val="B814B3B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416393"/>
    <w:rsid w:val="2E10060B"/>
    <w:rsid w:val="4FA94DED"/>
    <w:rsid w:val="5F73689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semiHidden/>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979</Words>
  <Characters>5581</Characters>
  <Lines>46</Lines>
  <Paragraphs>13</Paragraphs>
  <TotalTime>0</TotalTime>
  <ScaleCrop>false</ScaleCrop>
  <LinksUpToDate>false</LinksUpToDate>
  <CharactersWithSpaces>6547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2020-03-06T04:05:00Z</dcterms:created>
  <dc:creator>tai yuzhu</dc:creator>
  <cp:lastModifiedBy>Mr.彳余乐</cp:lastModifiedBy>
  <dcterms:modified xsi:type="dcterms:W3CDTF">2020-09-07T10:26:52Z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