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（二）公共资源交易领域基层政务公开标准目录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仿宋_GB2312" w:hAnsi="Times New Roman" w:eastAsia="仿宋_GB2312"/>
                <w:color w:val="000000"/>
                <w:kern w:val="0"/>
                <w:sz w:val="18"/>
                <w:szCs w:val="18"/>
              </w:rPr>
            </w:pPr>
          </w:p>
        </w:tc>
        <w:tc>
          <w:tcPr>
            <w:tcW w:w="900" w:type="dxa"/>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hint="eastAsia" w:ascii="黑体" w:hAnsi="宋体" w:eastAsia="黑体" w:cs="宋体"/>
                <w:kern w:val="0"/>
                <w:sz w:val="22"/>
              </w:rPr>
            </w:pPr>
          </w:p>
        </w:tc>
        <w:tc>
          <w:tcPr>
            <w:tcW w:w="2340" w:type="dxa"/>
            <w:vMerge w:val="continue"/>
            <w:vAlign w:val="center"/>
          </w:tcPr>
          <w:p>
            <w:pPr>
              <w:widowControl/>
              <w:jc w:val="left"/>
              <w:rPr>
                <w:rFonts w:hint="eastAsia" w:ascii="黑体" w:hAnsi="宋体" w:eastAsia="黑体" w:cs="宋体"/>
                <w:kern w:val="0"/>
                <w:sz w:val="22"/>
              </w:rPr>
            </w:pPr>
          </w:p>
        </w:tc>
        <w:tc>
          <w:tcPr>
            <w:tcW w:w="1620" w:type="dxa"/>
            <w:vMerge w:val="continue"/>
            <w:vAlign w:val="center"/>
          </w:tcPr>
          <w:p>
            <w:pPr>
              <w:widowControl/>
              <w:jc w:val="left"/>
              <w:rPr>
                <w:rFonts w:hint="eastAsia"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包头市东河区财政局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6" w:hRule="atLeas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shd w:val="clear" w:color="auto" w:fill="auto"/>
            <w:vAlign w:val="center"/>
          </w:tcPr>
          <w:p>
            <w:pPr>
              <w:jc w:val="center"/>
              <w:rPr>
                <w:rFonts w:hint="eastAsia" w:ascii="仿宋_GB2312" w:hAnsi="宋体" w:eastAsia="仿宋_GB2312" w:cs="宋体"/>
                <w:sz w:val="18"/>
                <w:szCs w:val="18"/>
              </w:rPr>
            </w:pP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pPr>
              <w:rPr>
                <w:rFonts w:hint="eastAsia" w:ascii="仿宋_GB2312" w:hAnsi="宋体" w:eastAsia="仿宋_GB2312"/>
                <w:sz w:val="18"/>
                <w:szCs w:val="18"/>
              </w:rPr>
            </w:pPr>
          </w:p>
        </w:tc>
        <w:tc>
          <w:tcPr>
            <w:tcW w:w="1620" w:type="dxa"/>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restart"/>
            <w:shd w:val="clear" w:color="auto" w:fill="auto"/>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shd w:val="clear" w:color="auto" w:fill="auto"/>
            <w:vAlign w:val="center"/>
          </w:tcPr>
          <w:p>
            <w:pPr>
              <w:jc w:val="center"/>
              <w:rPr>
                <w:rFonts w:hint="eastAsia" w:ascii="仿宋_GB2312" w:hAnsi="宋体" w:eastAsia="仿宋_GB2312"/>
                <w:sz w:val="18"/>
                <w:szCs w:val="18"/>
              </w:rPr>
            </w:pPr>
          </w:p>
        </w:tc>
        <w:tc>
          <w:tcPr>
            <w:tcW w:w="776"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900" w:type="dxa"/>
            <w:vMerge w:val="continue"/>
            <w:shd w:val="clear" w:color="auto" w:fill="auto"/>
            <w:vAlign w:val="center"/>
          </w:tcPr>
          <w:p>
            <w:pPr>
              <w:jc w:val="center"/>
              <w:rPr>
                <w:rFonts w:hint="eastAsia" w:ascii="仿宋_GB2312" w:hAnsi="宋体" w:eastAsia="仿宋_GB2312" w:cs="宋体"/>
                <w:sz w:val="18"/>
                <w:szCs w:val="18"/>
              </w:rPr>
            </w:pP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vAlign w:val="center"/>
          </w:tcPr>
          <w:p>
            <w:pPr>
              <w:rPr>
                <w:rFonts w:hint="eastAsia" w:ascii="仿宋_GB2312" w:eastAsia="仿宋_GB2312"/>
                <w:sz w:val="18"/>
                <w:szCs w:val="18"/>
              </w:rPr>
            </w:pP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vAlign w:val="center"/>
          </w:tcPr>
          <w:p>
            <w:pPr>
              <w:rPr>
                <w:rFonts w:ascii="Wingdings 2" w:hAnsi="Wingdings 2" w:cs="宋体"/>
                <w:sz w:val="18"/>
                <w:szCs w:val="18"/>
              </w:rPr>
            </w:pPr>
          </w:p>
        </w:tc>
        <w:tc>
          <w:tcPr>
            <w:tcW w:w="720" w:type="dxa"/>
            <w:shd w:val="clear" w:color="auto" w:fill="auto"/>
            <w:vAlign w:val="center"/>
          </w:tcPr>
          <w:p>
            <w:pPr>
              <w:jc w:val="center"/>
              <w:rPr>
                <w:rFonts w:ascii="宋体" w:hAnsi="宋体" w:cs="宋体"/>
                <w:sz w:val="18"/>
                <w:szCs w:val="18"/>
              </w:rPr>
            </w:pPr>
            <w:r>
              <w:rPr>
                <w:rFonts w:hint="eastAsia"/>
                <w:sz w:val="18"/>
                <w:szCs w:val="18"/>
              </w:rPr>
              <w:t>√</w:t>
            </w:r>
          </w:p>
        </w:tc>
        <w:tc>
          <w:tcPr>
            <w:tcW w:w="900" w:type="dxa"/>
            <w:shd w:val="clear" w:color="auto" w:fill="auto"/>
            <w:vAlign w:val="center"/>
          </w:tcPr>
          <w:p>
            <w:pPr>
              <w:jc w:val="center"/>
              <w:rPr>
                <w:rFonts w:ascii="宋体" w:hAnsi="宋体" w:cs="宋体"/>
                <w:sz w:val="18"/>
                <w:szCs w:val="18"/>
              </w:rPr>
            </w:pPr>
            <w:r>
              <w:rPr>
                <w:rFonts w:hint="eastAsia"/>
                <w:sz w:val="18"/>
                <w:szCs w:val="18"/>
              </w:rPr>
              <w:t>　</w:t>
            </w:r>
          </w:p>
        </w:tc>
        <w:tc>
          <w:tcPr>
            <w:tcW w:w="788" w:type="dxa"/>
            <w:shd w:val="clear" w:color="auto" w:fill="auto"/>
            <w:vAlign w:val="center"/>
          </w:tcPr>
          <w:p>
            <w:pPr>
              <w:jc w:val="center"/>
              <w:rPr>
                <w:rFonts w:ascii="宋体" w:hAnsi="宋体" w:cs="宋体"/>
                <w:sz w:val="18"/>
                <w:szCs w:val="18"/>
              </w:rPr>
            </w:pPr>
            <w:r>
              <w:rPr>
                <w:rFonts w:hint="eastAsia"/>
                <w:sz w:val="18"/>
                <w:szCs w:val="18"/>
              </w:rPr>
              <w:t>√</w:t>
            </w:r>
          </w:p>
        </w:tc>
        <w:tc>
          <w:tcPr>
            <w:tcW w:w="900" w:type="dxa"/>
            <w:shd w:val="clear" w:color="auto" w:fill="auto"/>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8</w:t>
            </w:r>
          </w:p>
        </w:tc>
        <w:tc>
          <w:tcPr>
            <w:tcW w:w="900" w:type="dxa"/>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10</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11</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《行政处罚法》、《政府信息公开条例》、《国务院办公厅关于推进公共资源配置领域政府信息公开的意见》</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包头市东河区财政局</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12</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《中国财经报》（《中国政府采购报》）</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《中国政府采购杂志》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0"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13</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14</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15</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16</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《中国财经报》（《中国政府采购报》）</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《中国政府采购杂志》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17</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18</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19</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集中采购机构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■中国政府采购网及其省级分网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20</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21</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22</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23</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24</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0"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25</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hint="eastAsia" w:ascii="仿宋_GB2312" w:eastAsia="仿宋_GB2312"/>
                <w:sz w:val="18"/>
                <w:szCs w:val="18"/>
              </w:rPr>
            </w:pPr>
            <w:r>
              <w:rPr>
                <w:rFonts w:hint="eastAsia" w:ascii="仿宋_GB2312" w:eastAsia="仿宋_GB2312"/>
                <w:sz w:val="18"/>
                <w:szCs w:val="18"/>
              </w:rPr>
              <w:t>包头市东河区财政局</w:t>
            </w:r>
          </w:p>
        </w:tc>
        <w:tc>
          <w:tcPr>
            <w:tcW w:w="1856" w:type="dxa"/>
            <w:vMerge w:val="restart"/>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26</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集中采购机构的考核结果公告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同上</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hint="eastAsia" w:ascii="仿宋_GB2312" w:eastAsia="仿宋_GB2312"/>
                <w:sz w:val="18"/>
                <w:szCs w:val="18"/>
              </w:rPr>
            </w:pPr>
            <w:r>
              <w:rPr>
                <w:rFonts w:hint="eastAsia" w:ascii="仿宋_GB2312" w:eastAsia="仿宋_GB2312"/>
                <w:sz w:val="18"/>
                <w:szCs w:val="18"/>
              </w:rPr>
              <w:t>包头市东河区财政局</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27</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土地出让计划</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《国务院办公厅关于推进公共资源配置领域政府信息公开的意见》、《招标拍卖挂牌出让国有建设用地使用权规定》、《国有建设用地供应计划编制规范》（试行）</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每年3月31日前，公布年度国有建设用地供应计划</w:t>
            </w:r>
          </w:p>
        </w:tc>
        <w:tc>
          <w:tcPr>
            <w:tcW w:w="956" w:type="dxa"/>
            <w:vAlign w:val="center"/>
          </w:tcPr>
          <w:p>
            <w:pPr>
              <w:rPr>
                <w:rFonts w:ascii="仿宋_GB2312" w:eastAsia="仿宋_GB2312"/>
                <w:sz w:val="18"/>
                <w:szCs w:val="18"/>
              </w:rPr>
            </w:pPr>
            <w:r>
              <w:rPr>
                <w:rFonts w:hint="eastAsia" w:ascii="仿宋_GB2312" w:eastAsia="仿宋_GB2312"/>
                <w:sz w:val="18"/>
                <w:szCs w:val="18"/>
              </w:rPr>
              <w:t>包头市自然资源局东河分局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28</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29</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　</w:t>
            </w:r>
          </w:p>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公告调整</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《招标拍卖挂牌出让国有土地使用权规范》</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vAlign w:val="center"/>
          </w:tcPr>
          <w:p>
            <w:pPr>
              <w:rPr>
                <w:rFonts w:ascii="仿宋_GB2312" w:eastAsia="仿宋_GB2312"/>
                <w:sz w:val="18"/>
                <w:szCs w:val="18"/>
              </w:rPr>
            </w:pPr>
            <w:r>
              <w:rPr>
                <w:rFonts w:hint="eastAsia" w:ascii="仿宋_GB2312" w:eastAsia="仿宋_GB2312"/>
                <w:sz w:val="18"/>
                <w:szCs w:val="18"/>
              </w:rPr>
              <w:t>包头市自然资源局东河分局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中国土地市场网或者土地有形市场等指定场所</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30</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招标拍卖挂牌出让结果（成交公示）</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招标拍卖挂牌活动结束后的10个工作日内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31</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供应结果</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国有建设用地使用权年度供应结果。</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包头市自然资源局东河分局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32</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矿业权出让信息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《国务院办公厅关于推进公共资源配置领域政府信息公开的意见》、国土资源部关于印发矿业权交易规则》的通知、《自然资源部关于调整&lt;矿业权交易规则&gt;有关规定的通知》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包头市自然资源局东河分局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eastAsia="仿宋_GB2312"/>
                <w:sz w:val="18"/>
                <w:szCs w:val="18"/>
              </w:rPr>
              <w:t>公共资源交易平台</w:t>
            </w:r>
            <w:r>
              <w:rPr>
                <w:rFonts w:hint="eastAsia"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同级自然资源主管部门门户网站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33</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招标拍卖挂牌成交结果公示</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包头市自然资源局东河分局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同级自然资源主管部门门户网站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34</w:t>
            </w:r>
          </w:p>
        </w:tc>
        <w:tc>
          <w:tcPr>
            <w:tcW w:w="900" w:type="dxa"/>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矿业权出让信息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审批结果信息</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包头市自然资源局东河分局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bl>
    <w:p>
      <w:pPr>
        <w:jc w:val="center"/>
        <w:rPr>
          <w:rFonts w:hint="eastAsia" w:ascii="仿宋_GB2312" w:eastAsia="仿宋_GB2312"/>
          <w:sz w:val="18"/>
          <w:szCs w:val="18"/>
        </w:rPr>
      </w:pPr>
      <w:r>
        <w:rPr>
          <w:rFonts w:hint="eastAsia" w:ascii="仿宋_GB2312" w:eastAsia="仿宋_GB2312"/>
          <w:sz w:val="18"/>
          <w:szCs w:val="18"/>
        </w:rPr>
        <w:br w:type="page"/>
      </w:r>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35</w:t>
            </w:r>
          </w:p>
        </w:tc>
        <w:tc>
          <w:tcPr>
            <w:tcW w:w="900" w:type="dxa"/>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项目信息</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每年一季度集中公告</w:t>
            </w:r>
          </w:p>
        </w:tc>
        <w:tc>
          <w:tcPr>
            <w:tcW w:w="956" w:type="dxa"/>
            <w:vAlign w:val="center"/>
          </w:tcPr>
          <w:p>
            <w:pPr>
              <w:rPr>
                <w:rFonts w:ascii="仿宋_GB2312" w:eastAsia="仿宋_GB2312"/>
                <w:sz w:val="18"/>
                <w:szCs w:val="18"/>
              </w:rPr>
            </w:pPr>
            <w:r>
              <w:rPr>
                <w:rFonts w:hint="eastAsia" w:ascii="仿宋_GB2312" w:eastAsia="仿宋_GB2312"/>
                <w:sz w:val="18"/>
                <w:szCs w:val="18"/>
              </w:rPr>
              <w:t>包头市自然资源局东河分局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36</w:t>
            </w:r>
          </w:p>
        </w:tc>
        <w:tc>
          <w:tcPr>
            <w:tcW w:w="900" w:type="dxa"/>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国有企业产权转让信息预披露</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37</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国有企业产权转让信息披露</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38</w:t>
            </w:r>
          </w:p>
        </w:tc>
        <w:tc>
          <w:tcPr>
            <w:tcW w:w="900" w:type="dxa"/>
            <w:vMerge w:val="continue"/>
            <w:shd w:val="clear" w:color="auto" w:fill="auto"/>
            <w:vAlign w:val="center"/>
          </w:tcPr>
          <w:p>
            <w:pP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国有企业产权转让成交公告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交易标的名称、转让标的评估结果、转让底价、交易价格。</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及时公开，公告期不少于5个工作日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39</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国有企业资产转让信息披露</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40</w:t>
            </w:r>
          </w:p>
        </w:tc>
        <w:tc>
          <w:tcPr>
            <w:tcW w:w="900" w:type="dxa"/>
            <w:vMerge w:val="continue"/>
            <w:shd w:val="clear" w:color="auto" w:fill="auto"/>
            <w:vAlign w:val="center"/>
          </w:tcPr>
          <w:p>
            <w:pP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国有企业资产转让成交公告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不少于5个工作日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p>
          <w:p>
            <w:pPr>
              <w:rPr>
                <w:rFonts w:ascii="仿宋_GB2312" w:eastAsia="仿宋_GB2312"/>
                <w:sz w:val="18"/>
                <w:szCs w:val="18"/>
              </w:rPr>
            </w:pPr>
            <w:bookmarkStart w:id="1" w:name="_GoBack"/>
            <w:bookmarkEnd w:id="1"/>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416393"/>
    <w:rsid w:val="5C2D33F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1464</Words>
  <Characters>8350</Characters>
  <Lines>69</Lines>
  <Paragraphs>19</Paragraphs>
  <TotalTime>0</TotalTime>
  <ScaleCrop>false</ScaleCrop>
  <LinksUpToDate>false</LinksUpToDate>
  <CharactersWithSpaces>9795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2020-03-06T04:04:00Z</dcterms:created>
  <dc:creator>tai yuzhu</dc:creator>
  <cp:lastModifiedBy>zwfwj</cp:lastModifiedBy>
  <dcterms:modified xsi:type="dcterms:W3CDTF">2020-09-15T01:38:31Z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