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1C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222222"/>
          <w:spacing w:val="0"/>
          <w:sz w:val="36"/>
          <w:szCs w:val="36"/>
        </w:rPr>
      </w:pPr>
      <w:r>
        <w:rPr>
          <w:rStyle w:val="5"/>
          <w:rFonts w:hint="eastAsia" w:ascii="方正黑体_GBK" w:hAnsi="方正黑体_GBK" w:eastAsia="方正黑体_GBK" w:cs="方正黑体_GBK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东河区</w:t>
      </w:r>
      <w:r>
        <w:rPr>
          <w:rStyle w:val="5"/>
          <w:rFonts w:hint="eastAsia" w:ascii="方正黑体_GBK" w:hAnsi="方正黑体_GBK" w:eastAsia="方正黑体_GBK" w:cs="方正黑体_GBK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民族事务委员会主动公开事项目录</w:t>
      </w:r>
    </w:p>
    <w:p w14:paraId="1814B4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4"/>
          <w:szCs w:val="24"/>
        </w:rPr>
      </w:pPr>
    </w:p>
    <w:tbl>
      <w:tblPr>
        <w:tblStyle w:val="3"/>
        <w:tblW w:w="0" w:type="auto"/>
        <w:tblInd w:w="6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39"/>
        <w:gridCol w:w="705"/>
        <w:gridCol w:w="1019"/>
        <w:gridCol w:w="839"/>
        <w:gridCol w:w="2960"/>
        <w:gridCol w:w="817"/>
        <w:gridCol w:w="866"/>
        <w:gridCol w:w="734"/>
        <w:gridCol w:w="1050"/>
        <w:gridCol w:w="1102"/>
        <w:gridCol w:w="644"/>
        <w:gridCol w:w="659"/>
        <w:gridCol w:w="690"/>
        <w:gridCol w:w="780"/>
      </w:tblGrid>
      <w:tr w14:paraId="40474F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754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公开事项</w:t>
            </w:r>
          </w:p>
        </w:tc>
        <w:tc>
          <w:tcPr>
            <w:tcW w:w="101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47E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公开内容</w:t>
            </w:r>
          </w:p>
          <w:p w14:paraId="294DB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（要素）</w:t>
            </w:r>
          </w:p>
        </w:tc>
        <w:tc>
          <w:tcPr>
            <w:tcW w:w="83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5B8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公开依据</w:t>
            </w:r>
          </w:p>
        </w:tc>
        <w:tc>
          <w:tcPr>
            <w:tcW w:w="29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FF5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条款内容</w:t>
            </w:r>
          </w:p>
        </w:tc>
        <w:tc>
          <w:tcPr>
            <w:tcW w:w="8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685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依据效力位阶</w:t>
            </w:r>
          </w:p>
        </w:tc>
        <w:tc>
          <w:tcPr>
            <w:tcW w:w="86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9CC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公开</w:t>
            </w:r>
          </w:p>
          <w:p w14:paraId="41E41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时限</w:t>
            </w:r>
          </w:p>
        </w:tc>
        <w:tc>
          <w:tcPr>
            <w:tcW w:w="7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BC4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公开</w:t>
            </w:r>
          </w:p>
          <w:p w14:paraId="16FC3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主体</w:t>
            </w: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0DF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事项类别</w:t>
            </w:r>
          </w:p>
          <w:p w14:paraId="5D628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（法定公开、其他）</w:t>
            </w:r>
          </w:p>
        </w:tc>
        <w:tc>
          <w:tcPr>
            <w:tcW w:w="110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D78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公开渠道和载体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3B7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公开对象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A66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责任单位/部门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DA2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对应</w:t>
            </w:r>
          </w:p>
          <w:p w14:paraId="5B5D4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职责</w:t>
            </w:r>
          </w:p>
        </w:tc>
      </w:tr>
      <w:tr w14:paraId="77D804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6D2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一级事项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C4F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二级事项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61B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三级事项</w:t>
            </w:r>
          </w:p>
        </w:tc>
        <w:tc>
          <w:tcPr>
            <w:tcW w:w="101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E852B9">
            <w:pPr>
              <w:rPr>
                <w:rFonts w:hint="eastAsia" w:ascii="宋体"/>
                <w:color w:val="222222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5847C4">
            <w:pPr>
              <w:rPr>
                <w:rFonts w:hint="eastAsia" w:ascii="宋体"/>
                <w:color w:val="222222"/>
                <w:sz w:val="24"/>
                <w:szCs w:val="24"/>
              </w:rPr>
            </w:pPr>
          </w:p>
        </w:tc>
        <w:tc>
          <w:tcPr>
            <w:tcW w:w="29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AFFEBF">
            <w:pPr>
              <w:rPr>
                <w:rFonts w:hint="eastAsia" w:ascii="宋体"/>
                <w:color w:val="222222"/>
                <w:sz w:val="24"/>
                <w:szCs w:val="24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DFABB2">
            <w:pPr>
              <w:rPr>
                <w:rFonts w:hint="eastAsia" w:ascii="宋体"/>
                <w:color w:val="22222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538252">
            <w:pPr>
              <w:rPr>
                <w:rFonts w:hint="eastAsia" w:ascii="宋体"/>
                <w:color w:val="222222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93EE4C">
            <w:pPr>
              <w:rPr>
                <w:rFonts w:hint="eastAsia" w:ascii="宋体"/>
                <w:color w:val="222222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F3F964">
            <w:pPr>
              <w:rPr>
                <w:rFonts w:hint="eastAsia" w:ascii="宋体"/>
                <w:color w:val="222222"/>
                <w:sz w:val="24"/>
                <w:szCs w:val="24"/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81905B">
            <w:pPr>
              <w:rPr>
                <w:rFonts w:hint="eastAsia" w:ascii="宋体"/>
                <w:color w:val="222222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343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全社会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B3B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特定群体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683D26">
            <w:pPr>
              <w:rPr>
                <w:rFonts w:hint="eastAsia" w:ascii="宋体"/>
                <w:color w:val="22222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89FC37">
            <w:pPr>
              <w:rPr>
                <w:rFonts w:hint="eastAsia" w:ascii="宋体"/>
                <w:color w:val="222222"/>
                <w:sz w:val="24"/>
                <w:szCs w:val="24"/>
              </w:rPr>
            </w:pPr>
          </w:p>
        </w:tc>
      </w:tr>
      <w:tr w14:paraId="56F8B2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565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ascii="Arial" w:hAnsi="Arial" w:cs="Arial" w:eastAsiaTheme="minorEastAsia"/>
                <w:color w:val="222222"/>
                <w:sz w:val="24"/>
                <w:szCs w:val="24"/>
                <w:lang w:val="en-US" w:eastAsia="zh-CN"/>
              </w:rPr>
            </w:pPr>
            <w:bookmarkStart w:id="0" w:name="OLE_LINK2" w:colFirst="9" w:colLast="9"/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法定主动公开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D16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 w:eastAsiaTheme="minorEastAsia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政策文件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AD6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行政规范性文件</w:t>
            </w:r>
          </w:p>
        </w:tc>
        <w:tc>
          <w:tcPr>
            <w:tcW w:w="101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10FD4A">
            <w:pPr>
              <w:rPr>
                <w:rFonts w:hint="default" w:ascii="宋体" w:eastAsiaTheme="minorEastAsia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制定的行政规范性文件</w:t>
            </w:r>
          </w:p>
        </w:tc>
        <w:tc>
          <w:tcPr>
            <w:tcW w:w="8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4AC574">
            <w:pPr>
              <w:rPr>
                <w:rFonts w:hint="eastAsia" w:ascii="宋体" w:eastAsiaTheme="minorEastAsia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中华人民共和国政府信息公开条例</w:t>
            </w:r>
            <w:r>
              <w:rPr>
                <w:rFonts w:hint="eastAsia" w:ascii="宋体"/>
                <w:color w:val="22222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A5313F">
            <w:pP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《中华人民共和国政府信息公开条例》第二十条行政机关应当依照本条例第十九条的规定，主动公开行政机关的下列政府信息：</w:t>
            </w:r>
          </w:p>
          <w:p w14:paraId="0CEB48E4">
            <w:pPr>
              <w:rPr>
                <w:rFonts w:hint="default" w:ascii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（一）行政法规、规章和规范性文件</w:t>
            </w: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3DEE94">
            <w:pPr>
              <w:rPr>
                <w:rFonts w:hint="default" w:ascii="宋体" w:eastAsiaTheme="minorEastAsia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行政法规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F76CE0">
            <w:pPr>
              <w:rPr>
                <w:rFonts w:hint="default" w:ascii="宋体" w:eastAsiaTheme="minorEastAsia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政府信息形成或者变更之日起20个工作日内及时公开</w:t>
            </w:r>
          </w:p>
        </w:tc>
        <w:tc>
          <w:tcPr>
            <w:tcW w:w="7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519323">
            <w:pPr>
              <w:rPr>
                <w:rFonts w:hint="default" w:ascii="宋体" w:eastAsiaTheme="minorEastAsia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东河区民族事务委员会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D291AE">
            <w:pPr>
              <w:rPr>
                <w:rFonts w:hint="default" w:ascii="宋体" w:eastAsiaTheme="minorEastAsia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法定公开</w:t>
            </w:r>
          </w:p>
        </w:tc>
        <w:tc>
          <w:tcPr>
            <w:tcW w:w="11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EE5436">
            <w:pPr>
              <w:rPr>
                <w:rFonts w:hint="default" w:ascii="宋体" w:eastAsiaTheme="minorEastAsia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政府网站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7B7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√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DF6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C3E736">
            <w:pPr>
              <w:rPr>
                <w:rFonts w:hint="default" w:ascii="宋体" w:eastAsiaTheme="minorEastAsia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机关各股室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BC1341">
            <w:pPr>
              <w:rPr>
                <w:rFonts w:hint="default" w:ascii="宋体" w:eastAsiaTheme="minorEastAsia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按要求发布</w:t>
            </w:r>
          </w:p>
        </w:tc>
      </w:tr>
      <w:tr w14:paraId="19FA63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F5D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 w:eastAsiaTheme="minorEastAsia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法定主动公开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2B0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机关简介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10D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机构职责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79008C">
            <w:pPr>
              <w:rPr>
                <w:rFonts w:hint="default" w:ascii="宋体"/>
                <w:color w:val="222222"/>
                <w:sz w:val="24"/>
                <w:szCs w:val="24"/>
                <w:lang w:val="en-US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机关职能</w:t>
            </w:r>
          </w:p>
        </w:tc>
        <w:tc>
          <w:tcPr>
            <w:tcW w:w="83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AECA15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2960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5D6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《中华人民共和国政府信息公开条例》 第二十条 行政机关应当依照本条例第十九条的规定，主动公开本行政机关的下列政府信息：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（二）机关职能、机构设置、办公地址、办公时间、联系方式、负责人姓名。</w:t>
            </w:r>
          </w:p>
        </w:tc>
        <w:tc>
          <w:tcPr>
            <w:tcW w:w="817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6E337C">
            <w:pP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行政</w:t>
            </w:r>
          </w:p>
          <w:p w14:paraId="33F50939">
            <w:pPr>
              <w:rPr>
                <w:rFonts w:hint="default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法规</w:t>
            </w:r>
          </w:p>
        </w:tc>
        <w:tc>
          <w:tcPr>
            <w:tcW w:w="866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8C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政府信息形成或者变更之日起20个工作日内及时公开</w:t>
            </w:r>
          </w:p>
        </w:tc>
        <w:tc>
          <w:tcPr>
            <w:tcW w:w="734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1CAB6C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bookmarkStart w:id="1" w:name="OLE_LINK1"/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东河区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民族事务委员会</w:t>
            </w:r>
            <w:bookmarkEnd w:id="1"/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139207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法定公开</w:t>
            </w:r>
          </w:p>
        </w:tc>
        <w:tc>
          <w:tcPr>
            <w:tcW w:w="1102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1C2D70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bookmarkStart w:id="2" w:name="OLE_LINK3"/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政府网站 </w:t>
            </w:r>
            <w:bookmarkEnd w:id="2"/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FFA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bookmarkStart w:id="3" w:name="OLE_LINK4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√</w:t>
            </w:r>
            <w:bookmarkEnd w:id="3"/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E7E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494E06">
            <w:pPr>
              <w:rPr>
                <w:rFonts w:hint="eastAsia" w:ascii="宋体" w:eastAsiaTheme="minorEastAsia"/>
                <w:color w:val="222222"/>
                <w:sz w:val="24"/>
                <w:szCs w:val="24"/>
                <w:lang w:val="en-US" w:eastAsia="zh-CN"/>
              </w:rPr>
            </w:pPr>
            <w:bookmarkStart w:id="4" w:name="OLE_LINK5"/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办公室</w:t>
            </w:r>
            <w:bookmarkEnd w:id="4"/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9AD984">
            <w:pPr>
              <w:jc w:val="center"/>
              <w:rPr>
                <w:rFonts w:hint="default" w:ascii="宋体" w:eastAsiaTheme="minorEastAsia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及时公开</w:t>
            </w:r>
          </w:p>
        </w:tc>
      </w:tr>
      <w:bookmarkEnd w:id="0"/>
      <w:tr w14:paraId="745046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512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</w:p>
        </w:tc>
        <w:tc>
          <w:tcPr>
            <w:tcW w:w="6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FFD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95F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机构设置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2D4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Arial" w:hAnsi="Arial" w:cs="Arial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机构内设股室职能职责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03C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296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EA2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4E7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B84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1C4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729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1F8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A7A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BEC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D9D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222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</w:tr>
      <w:tr w14:paraId="0FE6D4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D59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5A4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751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直属单位</w:t>
            </w:r>
          </w:p>
        </w:tc>
        <w:tc>
          <w:tcPr>
            <w:tcW w:w="1019" w:type="dxa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0C2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Arial" w:hAnsi="Arial" w:cs="Arial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机构直属单位</w:t>
            </w:r>
          </w:p>
        </w:tc>
        <w:tc>
          <w:tcPr>
            <w:tcW w:w="839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732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296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5F2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3A1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059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118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51B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C8F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A7F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4FC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88C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656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</w:tr>
      <w:tr w14:paraId="3858EA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EAF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</w:p>
        </w:tc>
        <w:tc>
          <w:tcPr>
            <w:tcW w:w="639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C41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929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领导简介</w:t>
            </w:r>
          </w:p>
        </w:tc>
        <w:tc>
          <w:tcPr>
            <w:tcW w:w="1019" w:type="dxa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FE6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机关科级领导分工及简介</w:t>
            </w:r>
          </w:p>
        </w:tc>
        <w:tc>
          <w:tcPr>
            <w:tcW w:w="839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B44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296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D56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1BC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E12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78D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994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DE5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644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C51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659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D12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FC0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DA9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</w:p>
        </w:tc>
      </w:tr>
      <w:tr w14:paraId="275F81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CE8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bookmarkStart w:id="5" w:name="OLE_LINK6" w:colFirst="8" w:colLast="8"/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法定主动公开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DBB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政府信息公开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337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政府信息公开年度报告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E707B3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政府信息公开年度报告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6F6F11">
            <w:pPr>
              <w:jc w:val="left"/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《中华人民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共和国政府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信息公开条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例》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FDE0A1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第五十条 政府信息公开工作年度报告应当包括下列内容：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（一）行政机关主动公开政府信息的情况；（二）行政机关收到和处理政府信息公开申请的情况；（三）政府信息公开工作存在的主要问题及改进情况；（四）其他需要报告的事项。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2FA118">
            <w:pP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行政</w:t>
            </w:r>
          </w:p>
          <w:p w14:paraId="4BBDD506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法规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F3F56C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政府信息形成或者变更之日起20个工作日内及时公开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24D6CC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东河区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民族事务委员会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79C4E2">
            <w:pPr>
              <w:rPr>
                <w:rFonts w:hint="eastAsia" w:ascii="宋体" w:hAnsiTheme="minorHAnsi" w:eastAsiaTheme="minorEastAsia" w:cstheme="minorBidi"/>
                <w:color w:val="222222"/>
                <w:kern w:val="2"/>
                <w:sz w:val="24"/>
                <w:szCs w:val="24"/>
                <w:lang w:val="en-US" w:eastAsia="zh-CN" w:bidi="ar-SA"/>
              </w:rPr>
            </w:pPr>
            <w:bookmarkStart w:id="6" w:name="OLE_LINK7"/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法定公开</w:t>
            </w:r>
            <w:bookmarkEnd w:id="6"/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697DBC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bookmarkStart w:id="7" w:name="OLE_LINK8"/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政府网站 </w:t>
            </w:r>
            <w:bookmarkEnd w:id="7"/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AB3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bookmarkStart w:id="8" w:name="OLE_LINK9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√</w:t>
            </w:r>
            <w:bookmarkEnd w:id="8"/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954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B16F35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bookmarkStart w:id="9" w:name="OLE_LINK10"/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办公室</w:t>
            </w:r>
            <w:bookmarkEnd w:id="9"/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D0D8D2">
            <w:pPr>
              <w:jc w:val="center"/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及时公开</w:t>
            </w:r>
          </w:p>
        </w:tc>
      </w:tr>
      <w:bookmarkEnd w:id="5"/>
      <w:tr w14:paraId="0713DF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03E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法定主动公开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2C9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规划</w:t>
            </w: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95A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规划</w:t>
            </w: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5FEB28">
            <w:pPr>
              <w:jc w:val="center"/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工作规划计划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03B6D3">
            <w:pPr>
              <w:jc w:val="left"/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《中华人民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共和国政府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信息公开条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例》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EFD674">
            <w:pP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《中华人民共和国政府信息公开条例》第二十条 行政机关应当依照本条例第十九条的规定，主动公开本行政机关的下列政府信息：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（三）国民经济和社会发展规划、专项规划、区域规划及相关政策。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A0F7A0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行政</w:t>
            </w: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法规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2BC93B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政府信息形成或者变更之日起20个工作日内及时公开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F0A668">
            <w:pPr>
              <w:rPr>
                <w:rFonts w:hint="eastAsia" w:ascii="宋体" w:hAnsiTheme="minorHAnsi" w:eastAsiaTheme="minorEastAsia" w:cstheme="minorBidi"/>
                <w:color w:val="22222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东河区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民族事务委员会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A7BCCE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法定公开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0032D3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政府网站 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8A1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√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E53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C11813">
            <w:pPr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F83F5D">
            <w:pPr>
              <w:jc w:val="center"/>
              <w:rPr>
                <w:rFonts w:hint="eastAsia" w:ascii="宋体"/>
                <w:color w:val="222222"/>
                <w:sz w:val="24"/>
                <w:szCs w:val="24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及时公开</w:t>
            </w:r>
          </w:p>
        </w:tc>
      </w:tr>
      <w:tr w14:paraId="635AC8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464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法定主动公开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9D9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统计信息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3AF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统计信息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B84D84">
            <w:pPr>
              <w:jc w:val="center"/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统计信息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480081">
            <w:pPr>
              <w:jc w:val="left"/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《中华人民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共和国政府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信息公开条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例》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017765">
            <w:pP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《中华人民共和国政府信息公开条例》第二十条 行政机关应当依照本条例第十九条的规定，主动公开本行政机关的下列政府信息：</w:t>
            </w:r>
          </w:p>
          <w:p w14:paraId="2A4447E1">
            <w:pPr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（四）国民经济和社会发展统计信息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DF231F">
            <w:pP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行政</w:t>
            </w: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法规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B2FB2F">
            <w:pP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政府信息形成或者变更之日起20个工作日内及时公开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F8C997">
            <w:pP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东河区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民族事务委员会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665718">
            <w:pP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法定公开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09F567">
            <w:pP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4"/>
                <w:lang w:val="en-US" w:eastAsia="zh-CN" w:bidi="ar"/>
              </w:rPr>
              <w:t>政府网站 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267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√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643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2864BE">
            <w:pP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机关各股室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0088E4">
            <w:pPr>
              <w:jc w:val="center"/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222222"/>
                <w:sz w:val="24"/>
                <w:szCs w:val="24"/>
                <w:lang w:val="en-US" w:eastAsia="zh-CN"/>
              </w:rPr>
              <w:t>及时公开</w:t>
            </w:r>
          </w:p>
        </w:tc>
      </w:tr>
      <w:tr w14:paraId="60E5FF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64805F">
            <w:pPr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Calibri" w:hAnsi="Calibri" w:cs="Calibri"/>
                <w:color w:val="222222"/>
                <w:sz w:val="24"/>
                <w:szCs w:val="24"/>
              </w:rPr>
              <w:t>法定主动内容公开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791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color w:val="222222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财政预决算信息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D48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222222"/>
                <w:lang w:val="en-US" w:eastAsia="zh-CN"/>
              </w:rPr>
            </w:pPr>
            <w:r>
              <w:rPr>
                <w:rFonts w:hint="eastAsia"/>
                <w:color w:val="222222"/>
                <w:lang w:val="en-US" w:eastAsia="zh-CN"/>
              </w:rPr>
              <w:t>财政预算、决算公开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668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eastAsia"/>
                <w:color w:val="222222"/>
                <w:lang w:val="en-US" w:eastAsia="zh-CN"/>
              </w:rPr>
              <w:t>政预算、决算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B4A580">
            <w:pPr>
              <w:jc w:val="left"/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《中华人民</w:t>
            </w:r>
          </w:p>
          <w:p w14:paraId="42B278E0">
            <w:pPr>
              <w:jc w:val="left"/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共和国政府</w:t>
            </w:r>
          </w:p>
          <w:p w14:paraId="27CB875D">
            <w:pPr>
              <w:jc w:val="left"/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信息公开条</w:t>
            </w:r>
          </w:p>
          <w:p w14:paraId="1E0A0FE9">
            <w:pPr>
              <w:jc w:val="left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例》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4F9F99">
            <w:pPr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第二十条　行政机关应当依照本条例第十九条的规定，主动公开本行政机关的下列政府信息：</w:t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 w:eastAsiaTheme="minorEastAsia"/>
                <w:color w:val="222222"/>
                <w:kern w:val="0"/>
                <w:sz w:val="24"/>
                <w:szCs w:val="24"/>
                <w:lang w:val="en-US" w:eastAsia="zh-CN" w:bidi="ar"/>
              </w:rPr>
              <w:t>（七）财政预算、决算信息。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8CFAAB">
            <w:pPr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行政法规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5036DD">
            <w:pPr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政府信息形成或者变更之日起20个工作日内及时公开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70174">
            <w:pPr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东河区民族事务委员会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61C3E1">
            <w:pPr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法定公开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8285FC">
            <w:pPr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政府网站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BEA1CD">
            <w:pPr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√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DA0E5A">
            <w:pPr>
              <w:rPr>
                <w:color w:val="222222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0235B4">
            <w:pPr>
              <w:rPr>
                <w:rFonts w:hint="eastAsia" w:ascii="Calibri" w:hAnsi="Calibri" w:cs="Calibri" w:eastAsiaTheme="minorEastAsia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08FD4E">
            <w:pPr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及时公开</w:t>
            </w:r>
          </w:p>
        </w:tc>
      </w:tr>
      <w:tr w14:paraId="4ABADD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3DA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Calibri" w:hAnsi="Calibri" w:cs="Calibri"/>
                <w:color w:val="222222"/>
                <w:sz w:val="24"/>
                <w:szCs w:val="24"/>
              </w:rPr>
              <w:t>法定主动内容公开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C94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政府采购信息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6B6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color w:val="222222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政府采购信息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A3F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政府采购信息</w:t>
            </w:r>
            <w:bookmarkStart w:id="10" w:name="_GoBack"/>
            <w:bookmarkEnd w:id="10"/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53B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359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  <w:shd w:val="clear" w:fill="FFFFFF"/>
              </w:rPr>
              <w:t>《</w:t>
            </w: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中华人民共和国政府信息公开条例》</w:t>
            </w:r>
          </w:p>
          <w:p w14:paraId="4D535C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第二十条　行政机关应当依照本条例第十九条的规定，主动公开本行政机关的下列政府信息：</w:t>
            </w:r>
          </w:p>
          <w:p w14:paraId="77B0A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（九）政府</w:t>
            </w:r>
            <w:r>
              <w:rPr>
                <w:rFonts w:hint="eastAsia" w:ascii="Arial" w:hAnsi="Arial" w:cs="Arial"/>
                <w:color w:val="222222"/>
                <w:sz w:val="24"/>
                <w:szCs w:val="24"/>
              </w:rPr>
              <w:fldChar w:fldCharType="begin"/>
            </w:r>
            <w:r>
              <w:rPr>
                <w:rFonts w:hint="eastAsia" w:ascii="Arial" w:hAnsi="Arial" w:cs="Arial"/>
                <w:color w:val="222222"/>
                <w:sz w:val="24"/>
                <w:szCs w:val="24"/>
              </w:rPr>
              <w:instrText xml:space="preserve"> HYPERLINK "https://baike.baidu.com/item/%E9%9B%86%E4%B8%AD%E9%87%87%E8%B4%AD/6182868?fromModule=lemma_inlink" </w:instrText>
            </w:r>
            <w:r>
              <w:rPr>
                <w:rFonts w:hint="eastAsia" w:ascii="Arial" w:hAnsi="Arial" w:cs="Arial"/>
                <w:color w:val="222222"/>
                <w:sz w:val="24"/>
                <w:szCs w:val="24"/>
              </w:rPr>
              <w:fldChar w:fldCharType="separate"/>
            </w:r>
            <w:r>
              <w:rPr>
                <w:rFonts w:hint="eastAsia" w:ascii="Arial" w:hAnsi="Arial" w:cs="Arial"/>
                <w:color w:val="222222"/>
                <w:sz w:val="24"/>
                <w:szCs w:val="24"/>
              </w:rPr>
              <w:t>集中采购</w:t>
            </w:r>
            <w:r>
              <w:rPr>
                <w:rFonts w:hint="eastAsia" w:ascii="Arial" w:hAnsi="Arial" w:cs="Arial"/>
                <w:color w:val="222222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项目的目录、标准及实施情况。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1B9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行政法规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FEC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  <w:shd w:val="clear" w:fill="FFFFFF"/>
              </w:rPr>
              <w:t>政府信息形成或者变更之日起20个工作日内及时公开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52C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东河区民族事务委员会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B5B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法定公开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348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政府网站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C60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√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417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222222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897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rFonts w:hint="eastAsia" w:ascii="Calibri" w:hAnsi="Calibri" w:cs="Calibri" w:eastAsiaTheme="minorEastAsia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color w:val="222222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9B9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rFonts w:hint="default" w:ascii="Calibri" w:hAnsi="Calibri" w:cs="Calibri"/>
                <w:color w:val="222222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222222"/>
                <w:sz w:val="24"/>
                <w:szCs w:val="24"/>
              </w:rPr>
              <w:t>及时公开</w:t>
            </w:r>
          </w:p>
        </w:tc>
      </w:tr>
    </w:tbl>
    <w:p w14:paraId="7D9D9A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Y2JjM2QxOTY5MTQzYjA5MmEzZjBlNGZmN2VjNDIifQ=="/>
  </w:docVars>
  <w:rsids>
    <w:rsidRoot w:val="0F5C54EE"/>
    <w:rsid w:val="072C4D51"/>
    <w:rsid w:val="0F5C54EE"/>
    <w:rsid w:val="12323B41"/>
    <w:rsid w:val="17400710"/>
    <w:rsid w:val="1FDC04D4"/>
    <w:rsid w:val="21AA5E23"/>
    <w:rsid w:val="231352C9"/>
    <w:rsid w:val="261F571B"/>
    <w:rsid w:val="28DB0637"/>
    <w:rsid w:val="30F86A3C"/>
    <w:rsid w:val="321524B8"/>
    <w:rsid w:val="39BC1DBE"/>
    <w:rsid w:val="3EE675FD"/>
    <w:rsid w:val="46CB16F8"/>
    <w:rsid w:val="47693860"/>
    <w:rsid w:val="4B164919"/>
    <w:rsid w:val="52BF0476"/>
    <w:rsid w:val="6146003C"/>
    <w:rsid w:val="68B24209"/>
    <w:rsid w:val="70700C31"/>
    <w:rsid w:val="77B9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1318</Words>
  <Characters>1325</Characters>
  <Lines>0</Lines>
  <Paragraphs>0</Paragraphs>
  <TotalTime>9</TotalTime>
  <ScaleCrop>false</ScaleCrop>
  <LinksUpToDate>false</LinksUpToDate>
  <CharactersWithSpaces>1336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2025-02-24T02:54:00Z</dcterms:created>
  <dc:creator>濤儿</dc:creator>
  <cp:lastModifiedBy>静</cp:lastModifiedBy>
  <cp:lastPrinted>2025-02-01T10:33:00Z</cp:lastPrinted>
  <dcterms:modified xsi:type="dcterms:W3CDTF">2025-11-20T01:41:47Z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0BE4BC997116446A85B7CE744E860BC0_13</vt:lpwstr>
  </property>
  <property fmtid="{D5CDD505-2E9C-101B-9397-08002B2CF9AE}" pid="4" name="KSOTemplateDocerSaveRecord">
    <vt:lpwstr>eyJoZGlkIjoiMzI0YzE2ZDJmOTE5OGE2NDBmYTk3ZDRhZjEyN2RmYTIiLCJ1c2VySWQiOiIxMTM3Mzg0MDYxIn0=</vt:lpwstr>
  </property>
</Properties>
</file>